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54AE" w14:textId="17EAB108" w:rsidR="00386386" w:rsidRPr="004F60ED" w:rsidRDefault="00386386" w:rsidP="0038638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4F60ED">
        <w:rPr>
          <w:rFonts w:ascii="Arial" w:eastAsia="MS Mincho" w:hAnsi="Arial" w:cs="Arial"/>
          <w:b/>
          <w:sz w:val="24"/>
          <w:szCs w:val="24"/>
          <w:lang w:val="en-US"/>
        </w:rPr>
        <w:t>3GPP TSG-RAN WG4 Meeting #</w:t>
      </w:r>
      <w:r w:rsidRPr="004F60ED">
        <w:rPr>
          <w:rFonts w:eastAsia="MS Mincho"/>
          <w:sz w:val="24"/>
          <w:szCs w:val="24"/>
          <w:lang w:val="en-US"/>
        </w:rPr>
        <w:t xml:space="preserve"> </w:t>
      </w:r>
      <w:r w:rsidRPr="004F60ED">
        <w:rPr>
          <w:rFonts w:ascii="Arial" w:eastAsia="MS Mincho" w:hAnsi="Arial" w:cs="Arial"/>
          <w:b/>
          <w:sz w:val="24"/>
          <w:szCs w:val="24"/>
          <w:lang w:val="en-US"/>
        </w:rPr>
        <w:t xml:space="preserve">95-e </w:t>
      </w:r>
      <w:r w:rsidRPr="004F60ED">
        <w:rPr>
          <w:rFonts w:ascii="Arial" w:eastAsia="MS Mincho" w:hAnsi="Arial" w:cs="Arial"/>
          <w:b/>
          <w:sz w:val="24"/>
          <w:szCs w:val="24"/>
          <w:lang w:val="en-US"/>
        </w:rPr>
        <w:tab/>
      </w:r>
      <w:r w:rsidR="00645B9A" w:rsidRPr="00645B9A">
        <w:rPr>
          <w:rFonts w:ascii="Arial" w:eastAsia="MS Mincho" w:hAnsi="Arial" w:cs="Arial"/>
          <w:b/>
          <w:sz w:val="24"/>
          <w:szCs w:val="24"/>
          <w:lang w:val="en-US"/>
        </w:rPr>
        <w:t>R4-2007058</w:t>
      </w:r>
    </w:p>
    <w:p w14:paraId="0A5E7DA4" w14:textId="77777777" w:rsidR="00386386" w:rsidRPr="004F60ED" w:rsidRDefault="00386386" w:rsidP="00386386">
      <w:pPr>
        <w:pStyle w:val="BodyText"/>
        <w:rPr>
          <w:rFonts w:ascii="Arial" w:hAnsi="Arial"/>
          <w:b/>
          <w:lang w:val="en-GB" w:eastAsia="zh-CN"/>
        </w:rPr>
      </w:pPr>
      <w:r w:rsidRPr="004F60ED">
        <w:rPr>
          <w:rFonts w:ascii="Arial" w:hAnsi="Arial"/>
          <w:b/>
          <w:lang w:eastAsia="zh-CN"/>
        </w:rPr>
        <w:t>Electronic Meeting, 25 May – 5 June, 2020</w:t>
      </w:r>
    </w:p>
    <w:p w14:paraId="1F26E5AE" w14:textId="77777777" w:rsidR="008652E9" w:rsidRPr="002C5EB5" w:rsidRDefault="008652E9" w:rsidP="008652E9">
      <w:pPr>
        <w:pStyle w:val="BodyText"/>
        <w:rPr>
          <w:b/>
          <w:noProof/>
          <w:sz w:val="22"/>
          <w:szCs w:val="22"/>
          <w:lang w:val="en-GB" w:eastAsia="zh-CN"/>
        </w:rPr>
      </w:pPr>
    </w:p>
    <w:p w14:paraId="139E5AA5" w14:textId="77777777" w:rsidR="00664D98" w:rsidRPr="00BE6CF9" w:rsidRDefault="00664D98" w:rsidP="00664D98">
      <w:pPr>
        <w:pStyle w:val="BodyText"/>
        <w:spacing w:after="120"/>
        <w:rPr>
          <w:b/>
        </w:rPr>
      </w:pPr>
      <w:r w:rsidRPr="00BE6CF9">
        <w:rPr>
          <w:b/>
        </w:rPr>
        <w:t>Source:</w:t>
      </w:r>
      <w:r w:rsidRPr="00BE6CF9">
        <w:rPr>
          <w:b/>
        </w:rPr>
        <w:tab/>
      </w:r>
      <w:r w:rsidRPr="00BE6CF9">
        <w:rPr>
          <w:b/>
        </w:rPr>
        <w:tab/>
      </w:r>
      <w:r w:rsidRPr="00BE6CF9">
        <w:t xml:space="preserve">Ericsson </w:t>
      </w:r>
    </w:p>
    <w:p w14:paraId="69DFD167" w14:textId="1DFB02CB" w:rsidR="00192F05" w:rsidRPr="00BE6CF9" w:rsidRDefault="00664D98" w:rsidP="00192F05">
      <w:pPr>
        <w:pStyle w:val="BodyText"/>
        <w:spacing w:after="120"/>
        <w:ind w:left="720" w:hanging="720"/>
      </w:pPr>
      <w:r w:rsidRPr="00BE6CF9">
        <w:rPr>
          <w:b/>
        </w:rPr>
        <w:t>Title:</w:t>
      </w:r>
      <w:r w:rsidRPr="00BE6CF9">
        <w:rPr>
          <w:b/>
        </w:rPr>
        <w:tab/>
      </w:r>
      <w:r w:rsidRPr="00BE6CF9">
        <w:rPr>
          <w:b/>
        </w:rPr>
        <w:tab/>
      </w:r>
      <w:r w:rsidRPr="00BE6CF9">
        <w:rPr>
          <w:b/>
        </w:rPr>
        <w:tab/>
      </w:r>
      <w:r w:rsidR="00192F05" w:rsidRPr="00BE6CF9">
        <w:t xml:space="preserve">Proposal for </w:t>
      </w:r>
      <w:r w:rsidR="00281543" w:rsidRPr="00BE6CF9">
        <w:t xml:space="preserve">EMC </w:t>
      </w:r>
      <w:r w:rsidR="00192F05" w:rsidRPr="00BE6CF9">
        <w:t>reduction of test configurations</w:t>
      </w:r>
    </w:p>
    <w:p w14:paraId="7E9B3BA8" w14:textId="1B26DDCD" w:rsidR="00664D98" w:rsidRPr="00BE6CF9" w:rsidRDefault="00664D98" w:rsidP="00192F05">
      <w:pPr>
        <w:pStyle w:val="BodyText"/>
        <w:spacing w:after="120"/>
        <w:ind w:left="720" w:hanging="720"/>
        <w:rPr>
          <w:lang w:val="en-GB"/>
        </w:rPr>
      </w:pPr>
      <w:r w:rsidRPr="00BE6CF9">
        <w:rPr>
          <w:b/>
          <w:lang w:val="en-GB"/>
        </w:rPr>
        <w:t>Agenda item:</w:t>
      </w:r>
      <w:r w:rsidRPr="00BE6CF9">
        <w:rPr>
          <w:b/>
          <w:lang w:val="en-GB"/>
        </w:rPr>
        <w:tab/>
      </w:r>
      <w:r w:rsidRPr="00BE6CF9">
        <w:rPr>
          <w:b/>
          <w:lang w:val="en-GB"/>
        </w:rPr>
        <w:tab/>
      </w:r>
      <w:r w:rsidR="00B71DE1" w:rsidRPr="00BE6CF9">
        <w:rPr>
          <w:lang w:val="en-GB"/>
        </w:rPr>
        <w:t>4.8.</w:t>
      </w:r>
      <w:r w:rsidR="00645B9A">
        <w:rPr>
          <w:lang w:val="en-GB"/>
        </w:rPr>
        <w:t>3</w:t>
      </w:r>
    </w:p>
    <w:p w14:paraId="244C963E" w14:textId="6C99C09E" w:rsidR="00664D98" w:rsidRPr="00BE6CF9" w:rsidRDefault="00664D98" w:rsidP="00664D98">
      <w:pPr>
        <w:pStyle w:val="BodyText"/>
        <w:spacing w:after="120"/>
        <w:rPr>
          <w:b/>
        </w:rPr>
      </w:pPr>
      <w:r w:rsidRPr="00BE6CF9">
        <w:rPr>
          <w:b/>
        </w:rPr>
        <w:t>Document for:</w:t>
      </w:r>
      <w:r w:rsidRPr="00BE6CF9">
        <w:rPr>
          <w:b/>
        </w:rPr>
        <w:tab/>
      </w:r>
      <w:r w:rsidR="006C7E70" w:rsidRPr="00BE6CF9">
        <w:t>Discussion</w:t>
      </w:r>
    </w:p>
    <w:p w14:paraId="292C85E4" w14:textId="77777777" w:rsidR="00664D98" w:rsidRPr="000813E3" w:rsidRDefault="00664D98" w:rsidP="000813E3">
      <w:pPr>
        <w:pStyle w:val="Heading1"/>
        <w:numPr>
          <w:ilvl w:val="0"/>
          <w:numId w:val="3"/>
        </w:numPr>
      </w:pPr>
      <w:r w:rsidRPr="000813E3">
        <w:t>Introduction</w:t>
      </w:r>
    </w:p>
    <w:p w14:paraId="195CBE32" w14:textId="47531C6C" w:rsidR="005E16B0" w:rsidRPr="002C5EB5" w:rsidRDefault="005E16B0" w:rsidP="005E16B0">
      <w:pPr>
        <w:spacing w:line="276" w:lineRule="auto"/>
        <w:rPr>
          <w:color w:val="000000" w:themeColor="text1"/>
          <w:sz w:val="22"/>
          <w:szCs w:val="22"/>
        </w:rPr>
      </w:pPr>
      <w:r w:rsidRPr="002C5EB5">
        <w:rPr>
          <w:color w:val="000000" w:themeColor="text1"/>
          <w:sz w:val="22"/>
          <w:szCs w:val="22"/>
        </w:rPr>
        <w:t>Current testing of EMC requirements as specified in TS 37.113</w:t>
      </w:r>
      <w:r w:rsidR="00277391" w:rsidRPr="002C5EB5">
        <w:rPr>
          <w:color w:val="000000" w:themeColor="text1"/>
          <w:sz w:val="22"/>
          <w:szCs w:val="22"/>
        </w:rPr>
        <w:t xml:space="preserve"> [1]</w:t>
      </w:r>
      <w:r w:rsidRPr="002C5EB5">
        <w:rPr>
          <w:color w:val="000000" w:themeColor="text1"/>
          <w:sz w:val="22"/>
          <w:szCs w:val="22"/>
        </w:rPr>
        <w:t xml:space="preserve"> (MSR BS) and TS 37.114 </w:t>
      </w:r>
      <w:r w:rsidR="00277391" w:rsidRPr="002C5EB5">
        <w:rPr>
          <w:color w:val="000000" w:themeColor="text1"/>
          <w:sz w:val="22"/>
          <w:szCs w:val="22"/>
        </w:rPr>
        <w:t xml:space="preserve">[2] </w:t>
      </w:r>
      <w:r w:rsidRPr="002C5EB5">
        <w:rPr>
          <w:color w:val="000000" w:themeColor="text1"/>
          <w:sz w:val="22"/>
          <w:szCs w:val="22"/>
        </w:rPr>
        <w:t>(AAS BS) is increasingly complex and considers many test configurations, due to various possible RAT combinations.</w:t>
      </w:r>
      <w:r w:rsidR="00281543" w:rsidRPr="002C5EB5">
        <w:rPr>
          <w:color w:val="000000" w:themeColor="text1"/>
          <w:sz w:val="22"/>
          <w:szCs w:val="22"/>
        </w:rPr>
        <w:t xml:space="preserve"> </w:t>
      </w:r>
    </w:p>
    <w:p w14:paraId="3B4C12DD" w14:textId="7E9E15F6" w:rsidR="00FE7BA6" w:rsidRPr="002C5EB5" w:rsidRDefault="00107965" w:rsidP="0003427B">
      <w:pPr>
        <w:spacing w:line="276" w:lineRule="auto"/>
        <w:rPr>
          <w:sz w:val="22"/>
          <w:szCs w:val="22"/>
        </w:rPr>
      </w:pPr>
      <w:r w:rsidRPr="002C5EB5">
        <w:rPr>
          <w:sz w:val="22"/>
          <w:szCs w:val="22"/>
        </w:rPr>
        <w:t>In this contribution we want to present some considerations on the need for reduction of test configurations, and pr</w:t>
      </w:r>
      <w:r w:rsidR="0003427B" w:rsidRPr="002C5EB5">
        <w:rPr>
          <w:sz w:val="22"/>
          <w:szCs w:val="22"/>
        </w:rPr>
        <w:t xml:space="preserve">esent an initial </w:t>
      </w:r>
      <w:r w:rsidR="001F3B8F" w:rsidRPr="002C5EB5">
        <w:rPr>
          <w:sz w:val="22"/>
          <w:szCs w:val="22"/>
        </w:rPr>
        <w:t xml:space="preserve">proposal on how to achieve the </w:t>
      </w:r>
      <w:r w:rsidR="001C2CEB" w:rsidRPr="002C5EB5">
        <w:rPr>
          <w:sz w:val="22"/>
          <w:szCs w:val="22"/>
        </w:rPr>
        <w:t xml:space="preserve">reduction of the test configurations. </w:t>
      </w:r>
      <w:r w:rsidR="002E1FE1" w:rsidRPr="002C5EB5">
        <w:rPr>
          <w:sz w:val="22"/>
          <w:szCs w:val="22"/>
        </w:rPr>
        <w:t xml:space="preserve"> </w:t>
      </w:r>
    </w:p>
    <w:p w14:paraId="47A8774F" w14:textId="2FE9A48B" w:rsidR="002E57B8" w:rsidRPr="000813E3" w:rsidRDefault="00234CED" w:rsidP="000813E3">
      <w:pPr>
        <w:pStyle w:val="Heading1"/>
        <w:numPr>
          <w:ilvl w:val="0"/>
          <w:numId w:val="3"/>
        </w:numPr>
      </w:pPr>
      <w:r w:rsidRPr="000813E3">
        <w:t>Discussion</w:t>
      </w:r>
    </w:p>
    <w:p w14:paraId="0C523105" w14:textId="7B29E7C7" w:rsidR="00705483" w:rsidRPr="002C5EB5" w:rsidRDefault="00092E5B" w:rsidP="00EA3365">
      <w:pPr>
        <w:pStyle w:val="Heading2"/>
      </w:pPr>
      <w:r w:rsidRPr="002C5EB5">
        <w:t>3GPP standards situation</w:t>
      </w:r>
    </w:p>
    <w:p w14:paraId="21FF0D4E" w14:textId="5DCC6FC0" w:rsidR="008A6C30" w:rsidRPr="002C5EB5" w:rsidRDefault="008A6C30" w:rsidP="008A6C30">
      <w:pPr>
        <w:pStyle w:val="Heading2"/>
        <w:numPr>
          <w:ilvl w:val="0"/>
          <w:numId w:val="0"/>
        </w:numPr>
        <w:jc w:val="both"/>
        <w:rPr>
          <w:rFonts w:ascii="Times New Roman" w:hAnsi="Times New Roman"/>
          <w:color w:val="000000" w:themeColor="text1"/>
          <w:sz w:val="22"/>
          <w:szCs w:val="22"/>
          <w:lang w:val="en-GB" w:eastAsia="en-US"/>
        </w:rPr>
      </w:pPr>
      <w:r w:rsidRPr="002C5EB5">
        <w:rPr>
          <w:rFonts w:ascii="Times New Roman" w:hAnsi="Times New Roman"/>
          <w:color w:val="000000" w:themeColor="text1"/>
          <w:sz w:val="22"/>
          <w:szCs w:val="22"/>
          <w:lang w:val="en-GB" w:eastAsia="en-US"/>
        </w:rPr>
        <w:t xml:space="preserve">According to TS 37.113 [1], an MSR BS Base station is “characterized by the ability of its receiver and transmitter to process two or more carriers in common active RF components simultaneously in a declared RF bandwidth, where at least one carrier is of a different RAT than the other carrier(s).” </w:t>
      </w:r>
    </w:p>
    <w:p w14:paraId="50AE1D56" w14:textId="168F824E" w:rsidR="008A6C30" w:rsidRPr="002C5EB5" w:rsidRDefault="008A6C30" w:rsidP="008A6C30">
      <w:pPr>
        <w:spacing w:line="276" w:lineRule="auto"/>
        <w:jc w:val="both"/>
        <w:rPr>
          <w:b/>
          <w:iCs/>
          <w:color w:val="000000" w:themeColor="text1"/>
          <w:sz w:val="22"/>
          <w:szCs w:val="22"/>
        </w:rPr>
      </w:pPr>
      <w:r w:rsidRPr="002C5EB5">
        <w:rPr>
          <w:b/>
          <w:iCs/>
          <w:color w:val="000000" w:themeColor="text1"/>
          <w:sz w:val="22"/>
          <w:szCs w:val="22"/>
        </w:rPr>
        <w:t xml:space="preserve">Observation </w:t>
      </w:r>
      <w:r w:rsidR="00150BEC" w:rsidRPr="002C5EB5">
        <w:rPr>
          <w:b/>
          <w:iCs/>
          <w:color w:val="000000" w:themeColor="text1"/>
          <w:sz w:val="22"/>
          <w:szCs w:val="22"/>
        </w:rPr>
        <w:t>1</w:t>
      </w:r>
      <w:r w:rsidRPr="002C5EB5">
        <w:rPr>
          <w:b/>
          <w:iCs/>
          <w:color w:val="000000" w:themeColor="text1"/>
          <w:sz w:val="22"/>
          <w:szCs w:val="22"/>
        </w:rPr>
        <w:t xml:space="preserve">: </w:t>
      </w:r>
      <w:r w:rsidRPr="002C5EB5">
        <w:rPr>
          <w:b/>
          <w:i/>
          <w:color w:val="000000" w:themeColor="text1"/>
          <w:sz w:val="22"/>
          <w:szCs w:val="22"/>
        </w:rPr>
        <w:t>One characteristic of MSR</w:t>
      </w:r>
      <w:r w:rsidR="00865314" w:rsidRPr="002C5EB5">
        <w:rPr>
          <w:b/>
          <w:i/>
          <w:color w:val="000000" w:themeColor="text1"/>
          <w:sz w:val="22"/>
          <w:szCs w:val="22"/>
        </w:rPr>
        <w:t xml:space="preserve"> BS is the ability of receiver and transmitter to </w:t>
      </w:r>
      <w:r w:rsidRPr="002C5EB5">
        <w:rPr>
          <w:b/>
          <w:i/>
          <w:color w:val="000000" w:themeColor="text1"/>
          <w:sz w:val="22"/>
          <w:szCs w:val="22"/>
        </w:rPr>
        <w:t>process two or more carriers</w:t>
      </w:r>
      <w:r w:rsidR="00690C95" w:rsidRPr="002C5EB5">
        <w:rPr>
          <w:b/>
          <w:i/>
          <w:color w:val="000000" w:themeColor="text1"/>
          <w:sz w:val="22"/>
          <w:szCs w:val="22"/>
        </w:rPr>
        <w:t xml:space="preserve"> in common active RF</w:t>
      </w:r>
      <w:r w:rsidR="00F903CC" w:rsidRPr="002C5EB5">
        <w:rPr>
          <w:b/>
          <w:i/>
          <w:color w:val="000000" w:themeColor="text1"/>
          <w:sz w:val="22"/>
          <w:szCs w:val="22"/>
        </w:rPr>
        <w:t xml:space="preserve"> components</w:t>
      </w:r>
      <w:r w:rsidRPr="002C5EB5">
        <w:rPr>
          <w:b/>
          <w:i/>
          <w:color w:val="000000" w:themeColor="text1"/>
          <w:sz w:val="22"/>
          <w:szCs w:val="22"/>
        </w:rPr>
        <w:t xml:space="preserve"> simultaneously.</w:t>
      </w:r>
    </w:p>
    <w:p w14:paraId="42A84854" w14:textId="0F259E69" w:rsidR="008A6C30" w:rsidRPr="002C5EB5" w:rsidRDefault="008A6C30" w:rsidP="008A6C30">
      <w:pPr>
        <w:spacing w:line="276" w:lineRule="auto"/>
        <w:jc w:val="both"/>
        <w:rPr>
          <w:sz w:val="22"/>
          <w:szCs w:val="22"/>
        </w:rPr>
      </w:pPr>
      <w:r w:rsidRPr="002C5EB5">
        <w:rPr>
          <w:color w:val="000000" w:themeColor="text1"/>
          <w:sz w:val="22"/>
          <w:szCs w:val="22"/>
        </w:rPr>
        <w:t>Standards such as TS 37.113 [1] and TS 37.114 [2] define the BS test configurations that shall be used for demonstrating EMC conformance. These BS test configurations (TCs) are applied according to the declared RAT Capability Set (CS, CSA or RCSA) of the Base Station (MSR or AAS) and the Band Category of the declared operating band (i.e. BC1, BC2 or BC3). The TCs for MSR BS are defined in TS 37.141 [</w:t>
      </w:r>
      <w:r w:rsidR="00C122D8">
        <w:rPr>
          <w:color w:val="000000" w:themeColor="text1"/>
          <w:sz w:val="22"/>
          <w:szCs w:val="22"/>
        </w:rPr>
        <w:t>3</w:t>
      </w:r>
      <w:r w:rsidRPr="002C5EB5">
        <w:rPr>
          <w:color w:val="000000" w:themeColor="text1"/>
          <w:sz w:val="22"/>
          <w:szCs w:val="22"/>
        </w:rPr>
        <w:t xml:space="preserve">], </w:t>
      </w:r>
      <w:r w:rsidR="000F76E7" w:rsidRPr="002C5EB5">
        <w:rPr>
          <w:color w:val="000000" w:themeColor="text1"/>
          <w:sz w:val="22"/>
          <w:szCs w:val="22"/>
        </w:rPr>
        <w:t xml:space="preserve">and include </w:t>
      </w:r>
      <w:r w:rsidRPr="002C5EB5">
        <w:rPr>
          <w:sz w:val="22"/>
          <w:szCs w:val="22"/>
        </w:rPr>
        <w:t>19 different capability sets (including 3 of single mode condition: WCDMA, LTE and NB-IoT standalone), which cover the possible RAT combinations available in a MSR BS. This makes it necessary to repeat several times testing procedures in order to cover all the possible combinations.</w:t>
      </w:r>
    </w:p>
    <w:p w14:paraId="612D3018" w14:textId="5B014321" w:rsidR="00257EEE" w:rsidRPr="002C5EB5" w:rsidRDefault="00257EEE" w:rsidP="008A6C30">
      <w:pPr>
        <w:spacing w:line="276" w:lineRule="auto"/>
        <w:jc w:val="both"/>
        <w:rPr>
          <w:sz w:val="22"/>
          <w:szCs w:val="22"/>
        </w:rPr>
      </w:pPr>
      <w:r w:rsidRPr="002C5EB5">
        <w:rPr>
          <w:sz w:val="22"/>
          <w:szCs w:val="22"/>
        </w:rPr>
        <w:t xml:space="preserve">As an </w:t>
      </w:r>
      <w:r w:rsidR="00212EF8" w:rsidRPr="002C5EB5">
        <w:rPr>
          <w:sz w:val="22"/>
          <w:szCs w:val="22"/>
        </w:rPr>
        <w:t>example,</w:t>
      </w:r>
      <w:r w:rsidRPr="002C5EB5">
        <w:rPr>
          <w:sz w:val="22"/>
          <w:szCs w:val="22"/>
        </w:rPr>
        <w:t xml:space="preserve"> </w:t>
      </w:r>
      <w:r w:rsidR="004C56D5" w:rsidRPr="002C5EB5">
        <w:rPr>
          <w:sz w:val="22"/>
          <w:szCs w:val="22"/>
        </w:rPr>
        <w:t>CS19</w:t>
      </w:r>
      <w:r w:rsidR="00164CA4" w:rsidRPr="002C5EB5">
        <w:rPr>
          <w:sz w:val="22"/>
          <w:szCs w:val="22"/>
        </w:rPr>
        <w:t xml:space="preserve">, </w:t>
      </w:r>
      <w:r w:rsidR="00C30178" w:rsidRPr="002C5EB5">
        <w:rPr>
          <w:sz w:val="22"/>
          <w:szCs w:val="22"/>
        </w:rPr>
        <w:t>which supports UTRA, E-UTRA and NR RATs</w:t>
      </w:r>
      <w:r w:rsidR="00410BFB" w:rsidRPr="002C5EB5">
        <w:rPr>
          <w:sz w:val="22"/>
          <w:szCs w:val="22"/>
        </w:rPr>
        <w:t xml:space="preserve"> </w:t>
      </w:r>
      <w:r w:rsidR="003C0AB6" w:rsidRPr="002C5EB5">
        <w:rPr>
          <w:sz w:val="22"/>
          <w:szCs w:val="22"/>
        </w:rPr>
        <w:t xml:space="preserve">requires for an EMC test to </w:t>
      </w:r>
      <w:r w:rsidR="003B466B" w:rsidRPr="002C5EB5">
        <w:rPr>
          <w:sz w:val="22"/>
          <w:szCs w:val="22"/>
        </w:rPr>
        <w:t>cover the following configurations</w:t>
      </w:r>
      <w:r w:rsidR="003C0AB6" w:rsidRPr="002C5EB5">
        <w:rPr>
          <w:sz w:val="22"/>
          <w:szCs w:val="22"/>
        </w:rPr>
        <w:t xml:space="preserve">: </w:t>
      </w:r>
    </w:p>
    <w:tbl>
      <w:tblPr>
        <w:tblW w:w="10020" w:type="dxa"/>
        <w:tblCellMar>
          <w:left w:w="70" w:type="dxa"/>
          <w:right w:w="70" w:type="dxa"/>
        </w:tblCellMar>
        <w:tblLook w:val="04A0" w:firstRow="1" w:lastRow="0" w:firstColumn="1" w:lastColumn="0" w:noHBand="0" w:noVBand="1"/>
      </w:tblPr>
      <w:tblGrid>
        <w:gridCol w:w="2200"/>
        <w:gridCol w:w="1920"/>
        <w:gridCol w:w="3580"/>
        <w:gridCol w:w="2320"/>
      </w:tblGrid>
      <w:tr w:rsidR="00BC4B9B" w:rsidRPr="00BC4B9B" w14:paraId="1B0B593A" w14:textId="77777777" w:rsidTr="00BC4B9B">
        <w:trPr>
          <w:trHeight w:val="480"/>
        </w:trPr>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E7880" w14:textId="77777777" w:rsidR="00BC4B9B" w:rsidRPr="00BC4B9B" w:rsidRDefault="00BC4B9B" w:rsidP="00BC4B9B">
            <w:pPr>
              <w:spacing w:after="0"/>
              <w:jc w:val="center"/>
              <w:rPr>
                <w:rFonts w:ascii="Arial" w:eastAsia="Times New Roman" w:hAnsi="Arial" w:cs="Arial"/>
                <w:b/>
                <w:bCs/>
                <w:color w:val="000000"/>
                <w:sz w:val="18"/>
                <w:szCs w:val="18"/>
                <w:lang w:val="en-US" w:eastAsia="sv-SE"/>
              </w:rPr>
            </w:pPr>
            <w:r w:rsidRPr="00BC4B9B">
              <w:rPr>
                <w:rFonts w:ascii="Arial" w:eastAsia="Times New Roman" w:hAnsi="Arial" w:cs="Arial"/>
                <w:b/>
                <w:bCs/>
                <w:color w:val="000000"/>
                <w:sz w:val="18"/>
                <w:szCs w:val="18"/>
                <w:lang w:val="en-US" w:eastAsia="sv-SE"/>
              </w:rPr>
              <w:t>Capability Set supported by the BS</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06C17868" w14:textId="77777777" w:rsidR="00BC4B9B" w:rsidRPr="00BC4B9B" w:rsidRDefault="00BC4B9B" w:rsidP="00BC4B9B">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Supported RATs</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4734E035" w14:textId="77777777" w:rsidR="00BC4B9B" w:rsidRPr="00BC4B9B" w:rsidRDefault="00BC4B9B" w:rsidP="00BC4B9B">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Supported configurations</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528A3475" w14:textId="77777777" w:rsidR="00BC4B9B" w:rsidRPr="00BC4B9B" w:rsidRDefault="00BC4B9B" w:rsidP="00BC4B9B">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MR Configuration</w:t>
            </w:r>
          </w:p>
        </w:tc>
      </w:tr>
      <w:tr w:rsidR="00BC4B9B" w:rsidRPr="00BC4B9B" w14:paraId="1AEE90E6" w14:textId="77777777" w:rsidTr="00BC4B9B">
        <w:trPr>
          <w:trHeight w:val="1680"/>
        </w:trPr>
        <w:tc>
          <w:tcPr>
            <w:tcW w:w="2200" w:type="dxa"/>
            <w:tcBorders>
              <w:top w:val="nil"/>
              <w:left w:val="single" w:sz="4" w:space="0" w:color="auto"/>
              <w:bottom w:val="single" w:sz="4" w:space="0" w:color="auto"/>
              <w:right w:val="single" w:sz="4" w:space="0" w:color="auto"/>
            </w:tcBorders>
            <w:shd w:val="clear" w:color="auto" w:fill="auto"/>
            <w:vAlign w:val="center"/>
            <w:hideMark/>
          </w:tcPr>
          <w:p w14:paraId="1D6ACF0E" w14:textId="77777777" w:rsidR="00BC4B9B" w:rsidRPr="00BC4B9B" w:rsidRDefault="00BC4B9B" w:rsidP="00BC4B9B">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CS19</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2595FC6B" w14:textId="77777777" w:rsidR="00BC4B9B" w:rsidRPr="00BC4B9B" w:rsidRDefault="00BC4B9B" w:rsidP="00BC4B9B">
            <w:pPr>
              <w:spacing w:after="0"/>
              <w:jc w:val="center"/>
              <w:rPr>
                <w:rFonts w:ascii="Arial" w:eastAsia="Times New Roman" w:hAnsi="Arial" w:cs="Arial"/>
                <w:b/>
                <w:bCs/>
                <w:color w:val="000000"/>
                <w:sz w:val="18"/>
                <w:szCs w:val="18"/>
                <w:lang w:val="sv-SE" w:eastAsia="sv-SE"/>
              </w:rPr>
            </w:pPr>
            <w:r w:rsidRPr="00BC4B9B">
              <w:rPr>
                <w:rFonts w:ascii="Arial" w:eastAsia="Times New Roman" w:hAnsi="Arial" w:cs="Arial"/>
                <w:b/>
                <w:bCs/>
                <w:color w:val="000000"/>
                <w:sz w:val="18"/>
                <w:szCs w:val="18"/>
                <w:lang w:val="sv-SE" w:eastAsia="sv-SE"/>
              </w:rPr>
              <w:t>UTRA, E-UTRA</w:t>
            </w:r>
            <w:r w:rsidRPr="00BC4B9B">
              <w:rPr>
                <w:rFonts w:ascii="Arial" w:eastAsia="Times New Roman" w:hAnsi="Arial" w:cs="Arial"/>
                <w:b/>
                <w:bCs/>
                <w:color w:val="000000"/>
                <w:sz w:val="18"/>
                <w:szCs w:val="18"/>
                <w:vertAlign w:val="superscript"/>
                <w:lang w:val="sv-SE" w:eastAsia="sv-SE"/>
              </w:rPr>
              <w:t>3</w:t>
            </w:r>
            <w:r w:rsidRPr="00BC4B9B">
              <w:rPr>
                <w:rFonts w:ascii="Arial" w:eastAsia="Times New Roman" w:hAnsi="Arial" w:cs="Arial"/>
                <w:b/>
                <w:bCs/>
                <w:color w:val="000000"/>
                <w:sz w:val="18"/>
                <w:szCs w:val="18"/>
                <w:lang w:val="sv-SE" w:eastAsia="sv-SE"/>
              </w:rPr>
              <w:t>, NR</w:t>
            </w:r>
            <w:r w:rsidRPr="00BC4B9B">
              <w:rPr>
                <w:rFonts w:ascii="Arial" w:eastAsia="Times New Roman" w:hAnsi="Arial" w:cs="Arial"/>
                <w:b/>
                <w:bCs/>
                <w:color w:val="000000"/>
                <w:sz w:val="18"/>
                <w:szCs w:val="18"/>
                <w:vertAlign w:val="superscript"/>
                <w:lang w:val="sv-SE" w:eastAsia="sv-SE"/>
              </w:rPr>
              <w:t>4</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06014E6B" w14:textId="77777777" w:rsidR="00BC4B9B" w:rsidRPr="00BC4B9B" w:rsidRDefault="00BC4B9B" w:rsidP="00BC4B9B">
            <w:pPr>
              <w:spacing w:after="0"/>
              <w:jc w:val="center"/>
              <w:rPr>
                <w:rFonts w:ascii="Arial" w:eastAsia="Times New Roman" w:hAnsi="Arial" w:cs="Arial"/>
                <w:color w:val="000000"/>
                <w:sz w:val="18"/>
                <w:szCs w:val="18"/>
                <w:lang w:val="sv-SE" w:eastAsia="sv-SE"/>
              </w:rPr>
            </w:pPr>
            <w:r w:rsidRPr="00BC4B9B">
              <w:rPr>
                <w:rFonts w:ascii="Arial" w:eastAsia="Times New Roman" w:hAnsi="Arial" w:cs="Arial"/>
                <w:color w:val="000000"/>
                <w:sz w:val="18"/>
                <w:szCs w:val="18"/>
                <w:lang w:val="sv-SE" w:eastAsia="sv-SE"/>
              </w:rPr>
              <w:t>SR UTRA (SC, MC)</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SR E-UTRA3 (SC, MC, CA)</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SR NR4 (SC, MC, CA)</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UTRA + E-UTRA3</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UTRA + NR4</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E-UTRA3 + NR4</w:t>
            </w:r>
            <w:r w:rsidRPr="00BC4B9B">
              <w:rPr>
                <w:rFonts w:ascii="Arial" w:eastAsia="Times New Roman" w:hAnsi="Arial" w:cs="Arial"/>
                <w:color w:val="000000"/>
                <w:sz w:val="18"/>
                <w:szCs w:val="18"/>
                <w:lang w:val="sv-SE" w:eastAsia="sv-SE"/>
              </w:rPr>
              <w:br/>
            </w:r>
            <w:r w:rsidRPr="00BC4B9B">
              <w:rPr>
                <w:rFonts w:ascii="Arial" w:eastAsia="Times New Roman" w:hAnsi="Arial" w:cs="Arial"/>
                <w:color w:val="000000"/>
                <w:sz w:val="18"/>
                <w:szCs w:val="18"/>
                <w:lang w:val="sv-SE" w:eastAsia="sv-SE"/>
              </w:rPr>
              <w:br/>
              <w:t>MR UTRA + E-UTRA3 + NR4</w:t>
            </w:r>
          </w:p>
        </w:tc>
        <w:tc>
          <w:tcPr>
            <w:tcW w:w="2320" w:type="dxa"/>
            <w:tcBorders>
              <w:top w:val="nil"/>
              <w:left w:val="nil"/>
              <w:bottom w:val="single" w:sz="4" w:space="0" w:color="auto"/>
              <w:right w:val="single" w:sz="4" w:space="0" w:color="auto"/>
            </w:tcBorders>
            <w:shd w:val="clear" w:color="auto" w:fill="auto"/>
            <w:vAlign w:val="center"/>
            <w:hideMark/>
          </w:tcPr>
          <w:p w14:paraId="7B2A2586" w14:textId="77777777" w:rsidR="00BC4B9B" w:rsidRPr="00BC4B9B" w:rsidRDefault="00BC4B9B" w:rsidP="00BC4B9B">
            <w:pPr>
              <w:spacing w:after="0"/>
              <w:jc w:val="center"/>
              <w:rPr>
                <w:rFonts w:ascii="Arial" w:eastAsia="Times New Roman" w:hAnsi="Arial" w:cs="Arial"/>
                <w:color w:val="000000"/>
                <w:sz w:val="18"/>
                <w:szCs w:val="18"/>
                <w:lang w:val="sv-SE" w:eastAsia="sv-SE"/>
              </w:rPr>
            </w:pPr>
            <w:r w:rsidRPr="00BC4B9B">
              <w:rPr>
                <w:rFonts w:ascii="Arial" w:eastAsia="Times New Roman" w:hAnsi="Arial" w:cs="Arial"/>
                <w:color w:val="000000"/>
                <w:sz w:val="18"/>
                <w:szCs w:val="18"/>
                <w:lang w:val="sv-SE" w:eastAsia="sv-SE"/>
              </w:rPr>
              <w:t>WCDMA + LTE+ IoT (optional)</w:t>
            </w:r>
            <w:r w:rsidRPr="00BC4B9B">
              <w:rPr>
                <w:rFonts w:ascii="Arial" w:eastAsia="Times New Roman" w:hAnsi="Arial" w:cs="Arial"/>
                <w:color w:val="000000"/>
                <w:sz w:val="18"/>
                <w:szCs w:val="18"/>
                <w:lang w:val="sv-SE" w:eastAsia="sv-SE"/>
              </w:rPr>
              <w:br/>
              <w:t>WCDMA + NR+ IoT (optional)</w:t>
            </w:r>
            <w:r w:rsidRPr="00BC4B9B">
              <w:rPr>
                <w:rFonts w:ascii="Arial" w:eastAsia="Times New Roman" w:hAnsi="Arial" w:cs="Arial"/>
                <w:color w:val="000000"/>
                <w:sz w:val="18"/>
                <w:szCs w:val="18"/>
                <w:lang w:val="sv-SE" w:eastAsia="sv-SE"/>
              </w:rPr>
              <w:br/>
              <w:t>LTE + NR +  IoT (optional)</w:t>
            </w:r>
            <w:r w:rsidRPr="00BC4B9B">
              <w:rPr>
                <w:rFonts w:ascii="Arial" w:eastAsia="Times New Roman" w:hAnsi="Arial" w:cs="Arial"/>
                <w:color w:val="000000"/>
                <w:sz w:val="18"/>
                <w:szCs w:val="18"/>
                <w:lang w:val="sv-SE" w:eastAsia="sv-SE"/>
              </w:rPr>
              <w:br/>
              <w:t>WCDMA + LTE+ NR+ IoT (optional)</w:t>
            </w:r>
          </w:p>
        </w:tc>
      </w:tr>
    </w:tbl>
    <w:p w14:paraId="71643E45" w14:textId="4048BD4E" w:rsidR="00C427FB" w:rsidRPr="002C5EB5" w:rsidRDefault="0010112D" w:rsidP="0010112D">
      <w:pPr>
        <w:spacing w:line="276" w:lineRule="auto"/>
        <w:jc w:val="center"/>
        <w:rPr>
          <w:b/>
          <w:bCs/>
          <w:i/>
          <w:iCs/>
          <w:color w:val="000000" w:themeColor="text1"/>
          <w:sz w:val="22"/>
          <w:szCs w:val="22"/>
        </w:rPr>
      </w:pPr>
      <w:r w:rsidRPr="002C5EB5">
        <w:rPr>
          <w:b/>
          <w:bCs/>
          <w:i/>
          <w:iCs/>
          <w:color w:val="000000" w:themeColor="text1"/>
          <w:sz w:val="22"/>
          <w:szCs w:val="22"/>
        </w:rPr>
        <w:t>Table 1. Summary of Capability Set 19 for MSR BS</w:t>
      </w:r>
    </w:p>
    <w:p w14:paraId="32DA0A21" w14:textId="7038B86A" w:rsidR="00C427FB" w:rsidRPr="002C5EB5" w:rsidRDefault="00C427FB" w:rsidP="008A6C30">
      <w:pPr>
        <w:spacing w:line="276" w:lineRule="auto"/>
        <w:rPr>
          <w:b/>
          <w:bCs/>
          <w:i/>
          <w:iCs/>
          <w:color w:val="000000" w:themeColor="text1"/>
          <w:sz w:val="22"/>
          <w:szCs w:val="22"/>
        </w:rPr>
      </w:pPr>
      <w:r w:rsidRPr="002C5EB5">
        <w:rPr>
          <w:sz w:val="22"/>
          <w:szCs w:val="22"/>
        </w:rPr>
        <w:lastRenderedPageBreak/>
        <w:t>A rough calculation</w:t>
      </w:r>
      <w:r w:rsidR="003D7FA0" w:rsidRPr="002C5EB5">
        <w:rPr>
          <w:sz w:val="22"/>
          <w:szCs w:val="22"/>
        </w:rPr>
        <w:t xml:space="preserve"> of the </w:t>
      </w:r>
      <w:r w:rsidR="00F32566" w:rsidRPr="002C5EB5">
        <w:rPr>
          <w:sz w:val="22"/>
          <w:szCs w:val="22"/>
        </w:rPr>
        <w:t xml:space="preserve">testing time </w:t>
      </w:r>
      <w:r w:rsidR="000C1CF3" w:rsidRPr="002C5EB5">
        <w:rPr>
          <w:sz w:val="22"/>
          <w:szCs w:val="22"/>
        </w:rPr>
        <w:t xml:space="preserve">required for each combination would say that </w:t>
      </w:r>
      <w:r w:rsidR="00ED5967" w:rsidRPr="002C5EB5">
        <w:rPr>
          <w:sz w:val="22"/>
          <w:szCs w:val="22"/>
        </w:rPr>
        <w:t>it takes aprox. 2 working weeks to test just one combination. If we extrapolate t</w:t>
      </w:r>
      <w:r w:rsidR="00ED4700" w:rsidRPr="002C5EB5">
        <w:rPr>
          <w:sz w:val="22"/>
          <w:szCs w:val="22"/>
        </w:rPr>
        <w:t>his value to calculate the requirement to run EMC testing for CS19 would result on 18 working weeks to complete the 9 combinations.</w:t>
      </w:r>
      <w:r w:rsidR="00ED4700" w:rsidRPr="002C5EB5">
        <w:rPr>
          <w:b/>
          <w:bCs/>
          <w:i/>
          <w:iCs/>
          <w:color w:val="000000" w:themeColor="text1"/>
          <w:sz w:val="22"/>
          <w:szCs w:val="22"/>
        </w:rPr>
        <w:t xml:space="preserve"> </w:t>
      </w:r>
    </w:p>
    <w:p w14:paraId="4CEBA16C" w14:textId="49DC72D0" w:rsidR="008A6C30" w:rsidRPr="002C5EB5" w:rsidRDefault="008A6C30" w:rsidP="008A6C30">
      <w:pPr>
        <w:spacing w:line="276" w:lineRule="auto"/>
        <w:rPr>
          <w:b/>
          <w:bCs/>
          <w:i/>
          <w:iCs/>
          <w:color w:val="000000" w:themeColor="text1"/>
          <w:sz w:val="22"/>
          <w:szCs w:val="22"/>
        </w:rPr>
      </w:pPr>
      <w:r w:rsidRPr="002C5EB5">
        <w:rPr>
          <w:b/>
          <w:bCs/>
          <w:i/>
          <w:iCs/>
          <w:color w:val="000000" w:themeColor="text1"/>
          <w:sz w:val="22"/>
          <w:szCs w:val="22"/>
        </w:rPr>
        <w:t xml:space="preserve">Observation </w:t>
      </w:r>
      <w:r w:rsidR="00257EEE" w:rsidRPr="002C5EB5">
        <w:rPr>
          <w:b/>
          <w:bCs/>
          <w:i/>
          <w:iCs/>
          <w:color w:val="000000" w:themeColor="text1"/>
          <w:sz w:val="22"/>
          <w:szCs w:val="22"/>
        </w:rPr>
        <w:t>2</w:t>
      </w:r>
      <w:r w:rsidRPr="002C5EB5">
        <w:rPr>
          <w:b/>
          <w:bCs/>
          <w:i/>
          <w:iCs/>
          <w:color w:val="000000" w:themeColor="text1"/>
          <w:sz w:val="22"/>
          <w:szCs w:val="22"/>
        </w:rPr>
        <w:t>: Current testing of EMC requirements as specified in standards such as TS 37.113 [1] (MSR BS) is increasingly complex and considers many test configurations, due to various possible RAT combinations</w:t>
      </w:r>
      <w:r w:rsidR="00106E4A" w:rsidRPr="002C5EB5">
        <w:rPr>
          <w:b/>
          <w:bCs/>
          <w:i/>
          <w:iCs/>
          <w:color w:val="000000" w:themeColor="text1"/>
          <w:sz w:val="22"/>
          <w:szCs w:val="22"/>
        </w:rPr>
        <w:t>, which might lead to increasing testing costs.</w:t>
      </w:r>
    </w:p>
    <w:p w14:paraId="34584F36" w14:textId="2CF83A2C" w:rsidR="00FF6191" w:rsidRPr="002C5EB5" w:rsidRDefault="00FF6191" w:rsidP="00FF6191">
      <w:pPr>
        <w:pStyle w:val="Heading2"/>
        <w:jc w:val="both"/>
        <w:rPr>
          <w:b/>
          <w:sz w:val="22"/>
          <w:szCs w:val="22"/>
        </w:rPr>
      </w:pPr>
      <w:r w:rsidRPr="002C5EB5">
        <w:rPr>
          <w:b/>
          <w:sz w:val="22"/>
          <w:szCs w:val="22"/>
        </w:rPr>
        <w:t>Analysis of EMC Testing</w:t>
      </w:r>
    </w:p>
    <w:p w14:paraId="68EEE942" w14:textId="77777777" w:rsidR="00A24463" w:rsidRPr="002C5EB5" w:rsidRDefault="00A24463" w:rsidP="00A24463">
      <w:pPr>
        <w:spacing w:line="276" w:lineRule="auto"/>
        <w:jc w:val="both"/>
        <w:rPr>
          <w:bCs/>
          <w:iCs/>
          <w:color w:val="000000" w:themeColor="text1"/>
          <w:sz w:val="22"/>
          <w:szCs w:val="22"/>
        </w:rPr>
      </w:pPr>
      <w:r w:rsidRPr="002C5EB5">
        <w:rPr>
          <w:bCs/>
          <w:iCs/>
          <w:color w:val="000000" w:themeColor="text1"/>
          <w:sz w:val="22"/>
          <w:szCs w:val="22"/>
        </w:rPr>
        <w:t xml:space="preserve">The goal of EMC testing is ensuring that any electronic or electrical device does not emit a large amount of electromagnetic interference (emissions) and that devices continue to function as intended in the presence of several electromagnetic phenomena (immunity). </w:t>
      </w:r>
    </w:p>
    <w:p w14:paraId="30778489" w14:textId="77777777" w:rsidR="00A24463" w:rsidRPr="002C5EB5" w:rsidRDefault="00A24463" w:rsidP="003D4352">
      <w:pPr>
        <w:pStyle w:val="Heading2"/>
        <w:numPr>
          <w:ilvl w:val="2"/>
          <w:numId w:val="3"/>
        </w:numPr>
        <w:jc w:val="both"/>
        <w:rPr>
          <w:b/>
          <w:sz w:val="22"/>
          <w:szCs w:val="22"/>
        </w:rPr>
      </w:pPr>
      <w:bookmarkStart w:id="2" w:name="_Hlk36740754"/>
      <w:r w:rsidRPr="002C5EB5">
        <w:rPr>
          <w:b/>
          <w:sz w:val="22"/>
          <w:szCs w:val="22"/>
        </w:rPr>
        <w:t>Emissions Testing</w:t>
      </w:r>
      <w:bookmarkEnd w:id="2"/>
    </w:p>
    <w:p w14:paraId="74244366" w14:textId="06A6926E" w:rsidR="00A24463" w:rsidRPr="002C5EB5" w:rsidRDefault="00A24463" w:rsidP="00A24463">
      <w:pPr>
        <w:spacing w:line="276" w:lineRule="auto"/>
        <w:jc w:val="both"/>
        <w:rPr>
          <w:color w:val="000000" w:themeColor="text1"/>
          <w:sz w:val="22"/>
          <w:szCs w:val="22"/>
        </w:rPr>
      </w:pPr>
      <w:r w:rsidRPr="002C5EB5">
        <w:rPr>
          <w:color w:val="000000" w:themeColor="text1"/>
          <w:sz w:val="22"/>
          <w:szCs w:val="22"/>
        </w:rPr>
        <w:t>EMC emissions testing covers both conducted and radiated emissions.  EMC conducted emission testing is performed to assess the electromagnetic energy levels versus frequency conducted by product cables (power lines, network cables, etc). Test labs measure these emissions (usually from 150 kHz - 30 MHz and verify that they comply with specified limits. ETSI and 3GPP have agreed on following CISPR 32 [</w:t>
      </w:r>
      <w:r w:rsidR="00DA40AC">
        <w:rPr>
          <w:color w:val="000000" w:themeColor="text1"/>
          <w:sz w:val="22"/>
          <w:szCs w:val="22"/>
        </w:rPr>
        <w:t>4</w:t>
      </w:r>
      <w:r w:rsidRPr="002C5EB5">
        <w:rPr>
          <w:color w:val="000000" w:themeColor="text1"/>
          <w:sz w:val="22"/>
          <w:szCs w:val="22"/>
        </w:rPr>
        <w:t xml:space="preserve">] standard for this purpose. Other emissions testing include harmonic </w:t>
      </w:r>
      <w:r w:rsidRPr="002C5EB5">
        <w:rPr>
          <w:color w:val="000000" w:themeColor="text1"/>
          <w:sz w:val="22"/>
          <w:szCs w:val="22"/>
          <w:lang w:val="en-US"/>
        </w:rPr>
        <w:t>and voltage fluctuations and flicker testing.</w:t>
      </w:r>
    </w:p>
    <w:p w14:paraId="2E3A92C5" w14:textId="011DEB25" w:rsidR="00A24463" w:rsidRPr="002C5EB5" w:rsidRDefault="00A24463" w:rsidP="00A24463">
      <w:pPr>
        <w:spacing w:line="276" w:lineRule="auto"/>
        <w:jc w:val="both"/>
        <w:rPr>
          <w:color w:val="000000" w:themeColor="text1"/>
          <w:sz w:val="22"/>
          <w:szCs w:val="22"/>
        </w:rPr>
      </w:pPr>
      <w:r w:rsidRPr="002C5EB5">
        <w:rPr>
          <w:b/>
          <w:color w:val="000000" w:themeColor="text1"/>
          <w:sz w:val="22"/>
          <w:szCs w:val="22"/>
        </w:rPr>
        <w:t xml:space="preserve">Observation </w:t>
      </w:r>
      <w:r w:rsidR="00E30BD6" w:rsidRPr="002C5EB5">
        <w:rPr>
          <w:b/>
          <w:color w:val="000000" w:themeColor="text1"/>
          <w:sz w:val="22"/>
          <w:szCs w:val="22"/>
        </w:rPr>
        <w:t>3</w:t>
      </w:r>
      <w:r w:rsidRPr="002C5EB5">
        <w:rPr>
          <w:b/>
          <w:color w:val="000000" w:themeColor="text1"/>
          <w:sz w:val="22"/>
          <w:szCs w:val="22"/>
        </w:rPr>
        <w:t xml:space="preserve">: </w:t>
      </w:r>
      <w:r w:rsidRPr="002C5EB5">
        <w:rPr>
          <w:b/>
          <w:i/>
          <w:color w:val="000000" w:themeColor="text1"/>
          <w:sz w:val="22"/>
          <w:szCs w:val="22"/>
        </w:rPr>
        <w:t>Conducted emission test methods and levels defined by IEC/CISPR are independent of the product (BS) characteristics and features, including the operating frequency or the Radio Access Technology (RAT).</w:t>
      </w:r>
    </w:p>
    <w:p w14:paraId="181D6D01" w14:textId="6C15FA68" w:rsidR="00A24463" w:rsidRPr="002C5EB5" w:rsidRDefault="00A24463" w:rsidP="00A24463">
      <w:pPr>
        <w:spacing w:line="276" w:lineRule="auto"/>
        <w:jc w:val="both"/>
        <w:rPr>
          <w:bCs/>
          <w:iCs/>
          <w:color w:val="000000" w:themeColor="text1"/>
          <w:sz w:val="22"/>
          <w:szCs w:val="22"/>
        </w:rPr>
      </w:pPr>
      <w:r w:rsidRPr="002C5EB5">
        <w:rPr>
          <w:color w:val="000000" w:themeColor="text1"/>
          <w:sz w:val="22"/>
          <w:szCs w:val="22"/>
        </w:rPr>
        <w:t xml:space="preserve">Regarding EMC radiated emissions test, this involves measuring the electromagnetic field strength of the emissions that are </w:t>
      </w:r>
      <w:r w:rsidRPr="002C5EB5">
        <w:rPr>
          <w:b/>
          <w:color w:val="000000" w:themeColor="text1"/>
          <w:sz w:val="22"/>
          <w:szCs w:val="22"/>
        </w:rPr>
        <w:t>unintentionally</w:t>
      </w:r>
      <w:r w:rsidRPr="002C5EB5">
        <w:rPr>
          <w:color w:val="000000" w:themeColor="text1"/>
          <w:sz w:val="22"/>
          <w:szCs w:val="22"/>
        </w:rPr>
        <w:t xml:space="preserve"> </w:t>
      </w:r>
      <w:r w:rsidRPr="002C5EB5">
        <w:rPr>
          <w:b/>
          <w:color w:val="000000" w:themeColor="text1"/>
          <w:sz w:val="22"/>
          <w:szCs w:val="22"/>
        </w:rPr>
        <w:t>generated</w:t>
      </w:r>
      <w:r w:rsidRPr="002C5EB5">
        <w:rPr>
          <w:color w:val="000000" w:themeColor="text1"/>
          <w:sz w:val="22"/>
          <w:szCs w:val="22"/>
        </w:rPr>
        <w:t xml:space="preserve"> by a product (a BS in this case). Emissions are inherent to the switching voltages and currents within any digital circuit. In this case, the radiated emission requirements as well as the test methods that apply are defined by IEC and CISPR subcommittee in the Standard </w:t>
      </w:r>
      <w:r w:rsidR="00DA40AC">
        <w:rPr>
          <w:color w:val="000000" w:themeColor="text1"/>
          <w:sz w:val="22"/>
          <w:szCs w:val="22"/>
        </w:rPr>
        <w:t>CISPR 32 [4]</w:t>
      </w:r>
      <w:r w:rsidRPr="002C5EB5">
        <w:rPr>
          <w:color w:val="000000" w:themeColor="text1"/>
          <w:sz w:val="22"/>
          <w:szCs w:val="22"/>
        </w:rPr>
        <w:t xml:space="preserve">. </w:t>
      </w:r>
    </w:p>
    <w:p w14:paraId="3BEB863F" w14:textId="47E418C8" w:rsidR="00A24463" w:rsidRPr="002C5EB5" w:rsidRDefault="00A24463" w:rsidP="00A24463">
      <w:pPr>
        <w:spacing w:line="276" w:lineRule="auto"/>
        <w:jc w:val="both"/>
        <w:rPr>
          <w:bCs/>
          <w:iCs/>
          <w:color w:val="000000" w:themeColor="text1"/>
          <w:sz w:val="22"/>
          <w:szCs w:val="22"/>
        </w:rPr>
      </w:pPr>
      <w:r w:rsidRPr="002C5EB5">
        <w:rPr>
          <w:bCs/>
          <w:iCs/>
          <w:color w:val="000000" w:themeColor="text1"/>
          <w:sz w:val="22"/>
          <w:szCs w:val="22"/>
        </w:rPr>
        <w:t xml:space="preserve">According to </w:t>
      </w:r>
      <w:r w:rsidR="00DA40AC">
        <w:rPr>
          <w:bCs/>
          <w:iCs/>
          <w:color w:val="000000" w:themeColor="text1"/>
          <w:sz w:val="22"/>
          <w:szCs w:val="22"/>
        </w:rPr>
        <w:t>CISPR 32 [4]</w:t>
      </w:r>
      <w:r w:rsidRPr="002C5EB5">
        <w:rPr>
          <w:bCs/>
          <w:iCs/>
          <w:color w:val="000000" w:themeColor="text1"/>
          <w:sz w:val="22"/>
          <w:szCs w:val="22"/>
        </w:rPr>
        <w:t xml:space="preserve"> in section 6, the procedures to be used for measurement of emission levels depend upon several elements. These include but are not limited </w:t>
      </w:r>
      <w:r w:rsidR="00F00846" w:rsidRPr="002C5EB5">
        <w:rPr>
          <w:bCs/>
          <w:iCs/>
          <w:color w:val="000000" w:themeColor="text1"/>
          <w:sz w:val="22"/>
          <w:szCs w:val="22"/>
        </w:rPr>
        <w:t>to</w:t>
      </w:r>
      <w:bookmarkStart w:id="3" w:name="_GoBack"/>
      <w:bookmarkEnd w:id="3"/>
      <w:r w:rsidRPr="002C5EB5">
        <w:rPr>
          <w:b/>
          <w:iCs/>
          <w:color w:val="000000" w:themeColor="text1"/>
          <w:sz w:val="22"/>
          <w:szCs w:val="22"/>
        </w:rPr>
        <w:t xml:space="preserve"> </w:t>
      </w:r>
      <w:r w:rsidRPr="002C5EB5">
        <w:rPr>
          <w:bCs/>
          <w:iCs/>
          <w:color w:val="000000" w:themeColor="text1"/>
          <w:sz w:val="22"/>
          <w:szCs w:val="22"/>
        </w:rPr>
        <w:t>the type of EUT,  the type of port, the types of cables used, the frequency range, and</w:t>
      </w:r>
      <w:r w:rsidRPr="002C5EB5">
        <w:rPr>
          <w:b/>
          <w:iCs/>
          <w:color w:val="000000" w:themeColor="text1"/>
          <w:sz w:val="22"/>
          <w:szCs w:val="22"/>
        </w:rPr>
        <w:t xml:space="preserve"> the mode of operation. </w:t>
      </w:r>
      <w:r w:rsidRPr="002C5EB5">
        <w:rPr>
          <w:bCs/>
          <w:iCs/>
          <w:color w:val="000000" w:themeColor="text1"/>
          <w:sz w:val="22"/>
          <w:szCs w:val="22"/>
        </w:rPr>
        <w:t>Same standard defines mode of operation as the “</w:t>
      </w:r>
      <w:r w:rsidRPr="002C5EB5">
        <w:rPr>
          <w:bCs/>
          <w:i/>
          <w:color w:val="000000" w:themeColor="text1"/>
          <w:sz w:val="22"/>
          <w:szCs w:val="22"/>
        </w:rPr>
        <w:t>set of operational states of all functions of an EUT during a test or measurement</w:t>
      </w:r>
      <w:r w:rsidRPr="002C5EB5">
        <w:rPr>
          <w:bCs/>
          <w:iCs/>
          <w:color w:val="000000" w:themeColor="text1"/>
          <w:sz w:val="22"/>
          <w:szCs w:val="22"/>
        </w:rPr>
        <w:t>”. According to this definition the different RATs should be considered as different modes of operation.</w:t>
      </w:r>
    </w:p>
    <w:p w14:paraId="5589F248" w14:textId="77777777" w:rsidR="00A24463" w:rsidRPr="002C5EB5" w:rsidRDefault="00A24463" w:rsidP="00A24463">
      <w:pPr>
        <w:spacing w:line="276" w:lineRule="auto"/>
        <w:jc w:val="both"/>
        <w:rPr>
          <w:bCs/>
          <w:iCs/>
          <w:color w:val="000000" w:themeColor="text1"/>
          <w:sz w:val="22"/>
          <w:szCs w:val="22"/>
        </w:rPr>
      </w:pPr>
      <w:r w:rsidRPr="002C5EB5">
        <w:rPr>
          <w:bCs/>
          <w:iCs/>
          <w:color w:val="000000" w:themeColor="text1"/>
          <w:sz w:val="22"/>
          <w:szCs w:val="22"/>
        </w:rPr>
        <w:t xml:space="preserve">CISPR 32 Annex B specifies the methods for exercising the EUT during emission measurements. Regarding MME (which typically have several different functions and numerous modes of operation associated with each function), CISPR indicates that </w:t>
      </w:r>
      <w:r w:rsidRPr="002C5EB5">
        <w:rPr>
          <w:bCs/>
          <w:i/>
          <w:color w:val="000000" w:themeColor="text1"/>
          <w:sz w:val="22"/>
          <w:szCs w:val="22"/>
        </w:rPr>
        <w:t>“For each function, or group of functions selected to exercise the EUT, a number of representative modes of operation, including low power/standby mode, shall be considered for testing. The mode(s) that produce(s) the highest emissions shall be selected for the final measurements.</w:t>
      </w:r>
      <w:r w:rsidRPr="002C5EB5">
        <w:rPr>
          <w:bCs/>
          <w:iCs/>
          <w:color w:val="000000" w:themeColor="text1"/>
          <w:sz w:val="22"/>
          <w:szCs w:val="22"/>
        </w:rPr>
        <w:t xml:space="preserve">” </w:t>
      </w:r>
    </w:p>
    <w:p w14:paraId="2820945E" w14:textId="48457894" w:rsidR="00A24463" w:rsidRPr="002C5EB5" w:rsidRDefault="00A24463" w:rsidP="00A24463">
      <w:pPr>
        <w:spacing w:line="276" w:lineRule="auto"/>
        <w:jc w:val="both"/>
        <w:rPr>
          <w:color w:val="000000" w:themeColor="text1"/>
          <w:sz w:val="22"/>
          <w:szCs w:val="22"/>
          <w:lang w:val="en-US"/>
        </w:rPr>
      </w:pPr>
      <w:r w:rsidRPr="002C5EB5">
        <w:rPr>
          <w:b/>
          <w:color w:val="000000" w:themeColor="text1"/>
          <w:sz w:val="22"/>
          <w:szCs w:val="22"/>
        </w:rPr>
        <w:t xml:space="preserve">Observation </w:t>
      </w:r>
      <w:r w:rsidR="00B4500D" w:rsidRPr="002C5EB5">
        <w:rPr>
          <w:b/>
          <w:color w:val="000000" w:themeColor="text1"/>
          <w:sz w:val="22"/>
          <w:szCs w:val="22"/>
        </w:rPr>
        <w:t>4</w:t>
      </w:r>
      <w:r w:rsidRPr="002C5EB5">
        <w:rPr>
          <w:b/>
          <w:color w:val="000000" w:themeColor="text1"/>
          <w:sz w:val="22"/>
          <w:szCs w:val="22"/>
        </w:rPr>
        <w:t xml:space="preserve">: </w:t>
      </w:r>
      <w:r w:rsidRPr="002C5EB5">
        <w:rPr>
          <w:b/>
          <w:i/>
          <w:color w:val="000000" w:themeColor="text1"/>
          <w:sz w:val="22"/>
          <w:szCs w:val="22"/>
        </w:rPr>
        <w:t xml:space="preserve">EUT/BS typically have several different functions and numerous modes of operation associated with each function. The mode(s) that produce(s) the highest emissions could be selected for the final measurements. </w:t>
      </w:r>
    </w:p>
    <w:p w14:paraId="04E89652" w14:textId="77777777" w:rsidR="00A24463" w:rsidRPr="002C5EB5" w:rsidRDefault="00A24463" w:rsidP="00D45076">
      <w:pPr>
        <w:pStyle w:val="Heading2"/>
        <w:numPr>
          <w:ilvl w:val="2"/>
          <w:numId w:val="3"/>
        </w:numPr>
        <w:jc w:val="both"/>
        <w:rPr>
          <w:b/>
          <w:sz w:val="22"/>
          <w:szCs w:val="22"/>
        </w:rPr>
      </w:pPr>
      <w:r w:rsidRPr="002C5EB5">
        <w:rPr>
          <w:b/>
          <w:sz w:val="22"/>
          <w:szCs w:val="22"/>
        </w:rPr>
        <w:t>Immunity Testing</w:t>
      </w:r>
    </w:p>
    <w:p w14:paraId="56D1573F" w14:textId="73DF5289" w:rsidR="00A24463" w:rsidRPr="002C5EB5" w:rsidRDefault="00A24463" w:rsidP="00A24463">
      <w:pPr>
        <w:spacing w:line="276" w:lineRule="auto"/>
        <w:jc w:val="both"/>
        <w:rPr>
          <w:color w:val="FF0000"/>
          <w:sz w:val="22"/>
          <w:szCs w:val="22"/>
        </w:rPr>
      </w:pPr>
      <w:r w:rsidRPr="002C5EB5">
        <w:rPr>
          <w:color w:val="000000" w:themeColor="text1"/>
          <w:sz w:val="22"/>
          <w:szCs w:val="22"/>
        </w:rPr>
        <w:t>As well as EMC emissions testing, immunity testing covers both conducted and radiated immunity. Conducted immunity testing is used to simulate the normal voltage and current environment of external power and signal cables.</w:t>
      </w:r>
      <w:r w:rsidR="00251DBA" w:rsidRPr="002C5EB5">
        <w:rPr>
          <w:color w:val="000000" w:themeColor="text1"/>
          <w:sz w:val="22"/>
          <w:szCs w:val="22"/>
        </w:rPr>
        <w:t xml:space="preserve"> </w:t>
      </w:r>
      <w:r w:rsidRPr="002C5EB5">
        <w:rPr>
          <w:color w:val="000000" w:themeColor="text1"/>
          <w:sz w:val="22"/>
          <w:szCs w:val="22"/>
        </w:rPr>
        <w:t>Radiated immunity testing is intended to see how well a device performs when it is subjected to an electric field of a specified amplitude (measured in volts/meter) across a range of frequencies. ETSI EN 300 489-1 [</w:t>
      </w:r>
      <w:r w:rsidR="00BF3D1E">
        <w:rPr>
          <w:color w:val="000000" w:themeColor="text1"/>
          <w:sz w:val="22"/>
          <w:szCs w:val="22"/>
        </w:rPr>
        <w:t>5</w:t>
      </w:r>
      <w:r w:rsidRPr="002C5EB5">
        <w:rPr>
          <w:color w:val="000000" w:themeColor="text1"/>
          <w:sz w:val="22"/>
          <w:szCs w:val="22"/>
        </w:rPr>
        <w:t xml:space="preserve">] defines that the test shall be in accordance with </w:t>
      </w:r>
      <w:r w:rsidR="00220529">
        <w:rPr>
          <w:color w:val="000000" w:themeColor="text1"/>
          <w:sz w:val="22"/>
          <w:szCs w:val="22"/>
        </w:rPr>
        <w:t>IEC 61000-4-3 [6]</w:t>
      </w:r>
      <w:r w:rsidRPr="002C5EB5">
        <w:rPr>
          <w:color w:val="000000" w:themeColor="text1"/>
          <w:sz w:val="22"/>
          <w:szCs w:val="22"/>
        </w:rPr>
        <w:t xml:space="preserve">. </w:t>
      </w:r>
    </w:p>
    <w:p w14:paraId="380CE521" w14:textId="5190CD3D" w:rsidR="00A24463" w:rsidRPr="002C5EB5" w:rsidRDefault="00A24463" w:rsidP="00A24463">
      <w:pPr>
        <w:spacing w:line="276" w:lineRule="auto"/>
        <w:jc w:val="both"/>
        <w:rPr>
          <w:color w:val="000000" w:themeColor="text1"/>
          <w:sz w:val="22"/>
          <w:szCs w:val="22"/>
        </w:rPr>
      </w:pPr>
      <w:r w:rsidRPr="002C5EB5">
        <w:rPr>
          <w:color w:val="000000" w:themeColor="text1"/>
          <w:sz w:val="22"/>
          <w:szCs w:val="22"/>
        </w:rPr>
        <w:lastRenderedPageBreak/>
        <w:t>The radiated immunity setup could be different according to the frequency operation; however, this principle does not apply for the RATs. In this case all RATs use the same setup in the chamber/shielding room. The different is the test bed which is set outside the chamber/shielding room for monitor different RATs performance.</w:t>
      </w:r>
    </w:p>
    <w:p w14:paraId="1DC78A25" w14:textId="77777777" w:rsidR="000F2B32" w:rsidRPr="002C5EB5" w:rsidRDefault="000F2B32" w:rsidP="000F2B32">
      <w:pPr>
        <w:spacing w:line="276" w:lineRule="auto"/>
        <w:rPr>
          <w:b/>
          <w:i/>
          <w:color w:val="000000" w:themeColor="text1"/>
          <w:sz w:val="22"/>
          <w:szCs w:val="22"/>
        </w:rPr>
      </w:pPr>
      <w:r w:rsidRPr="002C5EB5">
        <w:rPr>
          <w:b/>
          <w:color w:val="000000" w:themeColor="text1"/>
          <w:sz w:val="22"/>
          <w:szCs w:val="22"/>
        </w:rPr>
        <w:t xml:space="preserve">Observation 5: </w:t>
      </w:r>
      <w:r w:rsidRPr="002C5EB5">
        <w:rPr>
          <w:b/>
          <w:i/>
          <w:color w:val="000000" w:themeColor="text1"/>
          <w:sz w:val="22"/>
          <w:szCs w:val="22"/>
        </w:rPr>
        <w:t>Conducted immunity, ESD, EFT, Voltage dips, surges test methods and levels defined by IEC/CISPR are independent of the product (BS) characteristics and features, including the operating frequency or the Radio Access Technology (RAT). For Radiated Immunity testing the difference is in the test bed implementation outside of the chamber/shielding room used to monitor different RATs performance.</w:t>
      </w:r>
    </w:p>
    <w:p w14:paraId="61BEE346" w14:textId="6B760CE2" w:rsidR="00A24463" w:rsidRPr="002C5EB5" w:rsidRDefault="00A24463" w:rsidP="00A24463">
      <w:pPr>
        <w:spacing w:line="276" w:lineRule="auto"/>
        <w:jc w:val="both"/>
        <w:rPr>
          <w:color w:val="000000" w:themeColor="text1"/>
          <w:sz w:val="22"/>
          <w:szCs w:val="22"/>
        </w:rPr>
      </w:pPr>
      <w:r w:rsidRPr="002C5EB5">
        <w:rPr>
          <w:color w:val="000000" w:themeColor="text1"/>
          <w:sz w:val="22"/>
          <w:szCs w:val="22"/>
        </w:rPr>
        <w:t xml:space="preserve">The object of </w:t>
      </w:r>
      <w:r w:rsidR="00220529">
        <w:rPr>
          <w:color w:val="000000" w:themeColor="text1"/>
          <w:sz w:val="22"/>
          <w:szCs w:val="22"/>
        </w:rPr>
        <w:t>IEC 61000-4-3 [6]</w:t>
      </w:r>
      <w:r w:rsidRPr="002C5EB5">
        <w:rPr>
          <w:color w:val="000000" w:themeColor="text1"/>
          <w:sz w:val="22"/>
          <w:szCs w:val="22"/>
        </w:rPr>
        <w:t xml:space="preserve"> is to establish a common reference for evaluating the immunity of electrical and electronic equipment when subjected to radiated, radio-frequency electromagnetic fields. IEC remarks that </w:t>
      </w:r>
      <w:r w:rsidR="00220529">
        <w:rPr>
          <w:color w:val="000000" w:themeColor="text1"/>
          <w:sz w:val="22"/>
          <w:szCs w:val="22"/>
        </w:rPr>
        <w:t>IEC 61000-4-3 [6]</w:t>
      </w:r>
      <w:r w:rsidRPr="002C5EB5">
        <w:rPr>
          <w:color w:val="000000" w:themeColor="text1"/>
          <w:sz w:val="22"/>
          <w:szCs w:val="22"/>
        </w:rPr>
        <w:t xml:space="preserve"> is a basic EMC publication for use by product committees of the IEC. IEC Guide 107 [</w:t>
      </w:r>
      <w:r w:rsidR="00535102">
        <w:rPr>
          <w:color w:val="000000" w:themeColor="text1"/>
          <w:sz w:val="22"/>
          <w:szCs w:val="22"/>
        </w:rPr>
        <w:t>7</w:t>
      </w:r>
      <w:r w:rsidRPr="002C5EB5">
        <w:rPr>
          <w:color w:val="000000" w:themeColor="text1"/>
          <w:sz w:val="22"/>
          <w:szCs w:val="22"/>
        </w:rPr>
        <w:t xml:space="preserve">] also states that the IEC product committees are responsible for determining whether this immunity test standard should be applied or not, and if applied, they are responsible for determining the appropriate test levels and performance criteria. </w:t>
      </w:r>
    </w:p>
    <w:p w14:paraId="17C8F5B2" w14:textId="2DD1BC3B" w:rsidR="000B2338" w:rsidRPr="002C5EB5" w:rsidRDefault="000B2338" w:rsidP="000B2338">
      <w:pPr>
        <w:spacing w:line="276" w:lineRule="auto"/>
        <w:rPr>
          <w:b/>
          <w:bCs/>
          <w:i/>
          <w:iCs/>
          <w:color w:val="000000" w:themeColor="text1"/>
          <w:sz w:val="22"/>
          <w:szCs w:val="22"/>
        </w:rPr>
      </w:pPr>
      <w:r w:rsidRPr="002C5EB5">
        <w:rPr>
          <w:b/>
          <w:color w:val="000000" w:themeColor="text1"/>
          <w:sz w:val="22"/>
          <w:szCs w:val="22"/>
        </w:rPr>
        <w:t xml:space="preserve">Observation 6: </w:t>
      </w:r>
      <w:r w:rsidR="00BB1FEF" w:rsidRPr="002C5EB5">
        <w:rPr>
          <w:b/>
          <w:i/>
          <w:color w:val="000000" w:themeColor="text1"/>
          <w:sz w:val="22"/>
          <w:szCs w:val="22"/>
        </w:rPr>
        <w:t>IEC provi</w:t>
      </w:r>
      <w:r w:rsidR="004E44B5" w:rsidRPr="002C5EB5">
        <w:rPr>
          <w:b/>
          <w:i/>
          <w:color w:val="000000" w:themeColor="text1"/>
          <w:sz w:val="22"/>
          <w:szCs w:val="22"/>
        </w:rPr>
        <w:t>des a common reference for evaluating the immunity of electrical and electronic equipment</w:t>
      </w:r>
      <w:r w:rsidR="004B443E" w:rsidRPr="002C5EB5">
        <w:rPr>
          <w:b/>
          <w:i/>
          <w:color w:val="000000" w:themeColor="text1"/>
          <w:sz w:val="22"/>
          <w:szCs w:val="22"/>
        </w:rPr>
        <w:t xml:space="preserve">. This common reference can be </w:t>
      </w:r>
      <w:r w:rsidR="0031717A" w:rsidRPr="002C5EB5">
        <w:rPr>
          <w:b/>
          <w:i/>
          <w:color w:val="000000" w:themeColor="text1"/>
          <w:sz w:val="22"/>
          <w:szCs w:val="22"/>
        </w:rPr>
        <w:t>adapted</w:t>
      </w:r>
      <w:r w:rsidR="00466F40" w:rsidRPr="002C5EB5">
        <w:rPr>
          <w:b/>
          <w:i/>
          <w:color w:val="000000" w:themeColor="text1"/>
          <w:sz w:val="22"/>
          <w:szCs w:val="22"/>
        </w:rPr>
        <w:t>/adjusted in terms of levels and performance criteria</w:t>
      </w:r>
      <w:r w:rsidR="0031717A" w:rsidRPr="002C5EB5">
        <w:rPr>
          <w:b/>
          <w:i/>
          <w:color w:val="000000" w:themeColor="text1"/>
          <w:sz w:val="22"/>
          <w:szCs w:val="22"/>
        </w:rPr>
        <w:t xml:space="preserve"> </w:t>
      </w:r>
      <w:r w:rsidRPr="002C5EB5">
        <w:rPr>
          <w:b/>
          <w:i/>
          <w:color w:val="000000" w:themeColor="text1"/>
          <w:sz w:val="22"/>
          <w:szCs w:val="22"/>
        </w:rPr>
        <w:t>.</w:t>
      </w:r>
    </w:p>
    <w:p w14:paraId="7A7F1BC5" w14:textId="3711B22D" w:rsidR="008A4FC6" w:rsidRPr="002C5EB5" w:rsidRDefault="00C90FF8" w:rsidP="008A4FC6">
      <w:pPr>
        <w:pStyle w:val="Heading2"/>
        <w:jc w:val="both"/>
        <w:rPr>
          <w:b/>
          <w:sz w:val="22"/>
          <w:szCs w:val="22"/>
        </w:rPr>
      </w:pPr>
      <w:r w:rsidRPr="002C5EB5">
        <w:rPr>
          <w:b/>
          <w:sz w:val="22"/>
          <w:szCs w:val="22"/>
        </w:rPr>
        <w:t>Propos</w:t>
      </w:r>
      <w:r w:rsidR="008B3DB6" w:rsidRPr="002C5EB5">
        <w:rPr>
          <w:b/>
          <w:sz w:val="22"/>
          <w:szCs w:val="22"/>
        </w:rPr>
        <w:t>al for EMC Test Configuration Reduction</w:t>
      </w:r>
    </w:p>
    <w:p w14:paraId="61428D51" w14:textId="3257CD84" w:rsidR="00823251" w:rsidRPr="00E02828" w:rsidRDefault="008B3DB6" w:rsidP="008A4FC6">
      <w:pPr>
        <w:spacing w:line="276" w:lineRule="auto"/>
        <w:rPr>
          <w:bCs/>
          <w:iCs/>
          <w:color w:val="000000" w:themeColor="text1"/>
          <w:sz w:val="16"/>
          <w:szCs w:val="16"/>
        </w:rPr>
        <w:sectPr w:rsidR="00823251" w:rsidRPr="00E02828" w:rsidSect="00D17ACE">
          <w:footnotePr>
            <w:numRestart w:val="eachSect"/>
          </w:footnotePr>
          <w:pgSz w:w="11907" w:h="16840" w:code="9"/>
          <w:pgMar w:top="794" w:right="794" w:bottom="993" w:left="794" w:header="680" w:footer="567" w:gutter="0"/>
          <w:cols w:space="720"/>
          <w:docGrid w:linePitch="272"/>
        </w:sectPr>
      </w:pPr>
      <w:r w:rsidRPr="002C5EB5">
        <w:rPr>
          <w:bCs/>
          <w:iCs/>
          <w:color w:val="000000" w:themeColor="text1"/>
          <w:sz w:val="22"/>
          <w:szCs w:val="22"/>
        </w:rPr>
        <w:t xml:space="preserve">In </w:t>
      </w:r>
      <w:r w:rsidR="006D4BF7" w:rsidRPr="002C5EB5">
        <w:rPr>
          <w:bCs/>
          <w:iCs/>
          <w:color w:val="000000" w:themeColor="text1"/>
          <w:sz w:val="22"/>
          <w:szCs w:val="22"/>
        </w:rPr>
        <w:t>ta</w:t>
      </w:r>
      <w:r w:rsidRPr="002C5EB5">
        <w:rPr>
          <w:bCs/>
          <w:iCs/>
          <w:color w:val="000000" w:themeColor="text1"/>
          <w:sz w:val="22"/>
          <w:szCs w:val="22"/>
        </w:rPr>
        <w:t>ble</w:t>
      </w:r>
      <w:r w:rsidR="006D4BF7" w:rsidRPr="002C5EB5">
        <w:rPr>
          <w:bCs/>
          <w:iCs/>
          <w:color w:val="000000" w:themeColor="text1"/>
          <w:sz w:val="22"/>
          <w:szCs w:val="22"/>
        </w:rPr>
        <w:t xml:space="preserve"> 2</w:t>
      </w:r>
      <w:r w:rsidRPr="002C5EB5">
        <w:rPr>
          <w:bCs/>
          <w:iCs/>
          <w:color w:val="000000" w:themeColor="text1"/>
          <w:sz w:val="22"/>
          <w:szCs w:val="22"/>
        </w:rPr>
        <w:t xml:space="preserve"> we pres</w:t>
      </w:r>
      <w:r w:rsidR="002A5AE6" w:rsidRPr="002C5EB5">
        <w:rPr>
          <w:bCs/>
          <w:iCs/>
          <w:color w:val="000000" w:themeColor="text1"/>
          <w:sz w:val="22"/>
          <w:szCs w:val="22"/>
        </w:rPr>
        <w:t xml:space="preserve">ent a summary of the different Capability Sets associated to the test configurations in </w:t>
      </w:r>
      <w:r w:rsidR="00DA40AC">
        <w:rPr>
          <w:bCs/>
          <w:iCs/>
          <w:color w:val="000000" w:themeColor="text1"/>
          <w:sz w:val="22"/>
          <w:szCs w:val="22"/>
        </w:rPr>
        <w:t>TS 37.141 [3]</w:t>
      </w:r>
      <w:r w:rsidR="008660CA" w:rsidRPr="002C5EB5">
        <w:rPr>
          <w:bCs/>
          <w:iCs/>
          <w:color w:val="000000" w:themeColor="text1"/>
          <w:sz w:val="22"/>
          <w:szCs w:val="22"/>
        </w:rPr>
        <w:t>. The table also shows a summary of the</w:t>
      </w:r>
      <w:r w:rsidR="006C2ECA">
        <w:rPr>
          <w:bCs/>
          <w:iCs/>
          <w:color w:val="000000" w:themeColor="text1"/>
          <w:sz w:val="22"/>
          <w:szCs w:val="22"/>
        </w:rPr>
        <w:t xml:space="preserve"> RAT</w:t>
      </w:r>
      <w:r w:rsidR="008660CA" w:rsidRPr="002C5EB5">
        <w:rPr>
          <w:bCs/>
          <w:iCs/>
          <w:color w:val="000000" w:themeColor="text1"/>
          <w:sz w:val="22"/>
          <w:szCs w:val="22"/>
        </w:rPr>
        <w:t xml:space="preserve"> combinations </w:t>
      </w:r>
      <w:r w:rsidR="00323A78">
        <w:rPr>
          <w:bCs/>
          <w:iCs/>
          <w:color w:val="000000" w:themeColor="text1"/>
          <w:sz w:val="22"/>
          <w:szCs w:val="22"/>
        </w:rPr>
        <w:t xml:space="preserve">currently </w:t>
      </w:r>
      <w:r w:rsidR="008660CA" w:rsidRPr="002C5EB5">
        <w:rPr>
          <w:bCs/>
          <w:iCs/>
          <w:color w:val="000000" w:themeColor="text1"/>
          <w:sz w:val="22"/>
          <w:szCs w:val="22"/>
        </w:rPr>
        <w:t>used for EMC testing.</w:t>
      </w:r>
    </w:p>
    <w:p w14:paraId="7BAC3061" w14:textId="5A8CA92A" w:rsidR="000B2338" w:rsidRPr="00E02828" w:rsidRDefault="000B2338" w:rsidP="008A4FC6">
      <w:pPr>
        <w:spacing w:line="276" w:lineRule="auto"/>
        <w:rPr>
          <w:bCs/>
          <w:i/>
          <w:iCs/>
          <w:color w:val="000000" w:themeColor="text1"/>
          <w:sz w:val="16"/>
          <w:szCs w:val="16"/>
        </w:rPr>
      </w:pPr>
    </w:p>
    <w:p w14:paraId="1D0460A1" w14:textId="43829ED0" w:rsidR="00176464" w:rsidRPr="00E02828" w:rsidRDefault="00176464" w:rsidP="007722C4">
      <w:pPr>
        <w:spacing w:line="276" w:lineRule="auto"/>
        <w:jc w:val="both"/>
        <w:rPr>
          <w:bCs/>
          <w:iCs/>
          <w:color w:val="000000" w:themeColor="text1"/>
          <w:sz w:val="16"/>
          <w:szCs w:val="16"/>
        </w:rPr>
      </w:pPr>
    </w:p>
    <w:p w14:paraId="7FB96A45" w14:textId="77777777" w:rsidR="00823251" w:rsidRDefault="00FA54EE" w:rsidP="007722C4">
      <w:pPr>
        <w:spacing w:line="276" w:lineRule="auto"/>
        <w:jc w:val="both"/>
      </w:pPr>
      <w:r w:rsidRPr="00FA54EE">
        <w:rPr>
          <w:noProof/>
        </w:rPr>
        <w:drawing>
          <wp:inline distT="0" distB="0" distL="0" distR="0" wp14:anchorId="664A6B2F" wp14:editId="2208CBF8">
            <wp:extent cx="9385200" cy="4377600"/>
            <wp:effectExtent l="0" t="0" r="698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85200" cy="4377600"/>
                    </a:xfrm>
                    <a:prstGeom prst="rect">
                      <a:avLst/>
                    </a:prstGeom>
                    <a:noFill/>
                    <a:ln>
                      <a:noFill/>
                    </a:ln>
                  </pic:spPr>
                </pic:pic>
              </a:graphicData>
            </a:graphic>
          </wp:inline>
        </w:drawing>
      </w:r>
    </w:p>
    <w:p w14:paraId="5E8238CD" w14:textId="3D74A47F" w:rsidR="006C2ECA" w:rsidRPr="006C2ECA" w:rsidRDefault="006C2ECA" w:rsidP="003C77B6">
      <w:pPr>
        <w:tabs>
          <w:tab w:val="left" w:pos="6795"/>
        </w:tabs>
        <w:jc w:val="center"/>
        <w:rPr>
          <w:sz w:val="16"/>
          <w:szCs w:val="16"/>
        </w:rPr>
        <w:sectPr w:rsidR="006C2ECA" w:rsidRPr="006C2ECA" w:rsidSect="00823251">
          <w:footnotePr>
            <w:numRestart w:val="eachSect"/>
          </w:footnotePr>
          <w:pgSz w:w="16840" w:h="11907" w:orient="landscape" w:code="9"/>
          <w:pgMar w:top="794" w:right="794" w:bottom="794" w:left="993" w:header="680" w:footer="567" w:gutter="0"/>
          <w:cols w:space="720"/>
          <w:docGrid w:linePitch="272"/>
        </w:sectPr>
      </w:pPr>
      <w:r w:rsidRPr="002C5EB5">
        <w:rPr>
          <w:b/>
          <w:bCs/>
          <w:i/>
          <w:iCs/>
          <w:color w:val="000000" w:themeColor="text1"/>
          <w:sz w:val="22"/>
          <w:szCs w:val="22"/>
        </w:rPr>
        <w:t xml:space="preserve">Table </w:t>
      </w:r>
      <w:r>
        <w:rPr>
          <w:b/>
          <w:bCs/>
          <w:i/>
          <w:iCs/>
          <w:color w:val="000000" w:themeColor="text1"/>
          <w:sz w:val="22"/>
          <w:szCs w:val="22"/>
        </w:rPr>
        <w:t>2</w:t>
      </w:r>
      <w:r w:rsidRPr="002C5EB5">
        <w:rPr>
          <w:b/>
          <w:bCs/>
          <w:i/>
          <w:iCs/>
          <w:color w:val="000000" w:themeColor="text1"/>
          <w:sz w:val="22"/>
          <w:szCs w:val="22"/>
        </w:rPr>
        <w:t xml:space="preserve">. Summary of </w:t>
      </w:r>
      <w:r>
        <w:rPr>
          <w:b/>
          <w:bCs/>
          <w:i/>
          <w:iCs/>
          <w:color w:val="000000" w:themeColor="text1"/>
          <w:sz w:val="22"/>
          <w:szCs w:val="22"/>
        </w:rPr>
        <w:t>Capability sets and</w:t>
      </w:r>
      <w:r w:rsidR="003B00C8">
        <w:rPr>
          <w:b/>
          <w:bCs/>
          <w:i/>
          <w:iCs/>
          <w:color w:val="000000" w:themeColor="text1"/>
          <w:sz w:val="22"/>
          <w:szCs w:val="22"/>
        </w:rPr>
        <w:t xml:space="preserve"> Supported RATs combinations for</w:t>
      </w:r>
      <w:r w:rsidRPr="002C5EB5">
        <w:rPr>
          <w:b/>
          <w:bCs/>
          <w:i/>
          <w:iCs/>
          <w:color w:val="000000" w:themeColor="text1"/>
          <w:sz w:val="22"/>
          <w:szCs w:val="22"/>
        </w:rPr>
        <w:t xml:space="preserve"> MSR BS</w:t>
      </w:r>
    </w:p>
    <w:p w14:paraId="3296C6A1" w14:textId="04B229AD" w:rsidR="00D70430" w:rsidRDefault="00230EF7" w:rsidP="007722C4">
      <w:pPr>
        <w:spacing w:line="276" w:lineRule="auto"/>
        <w:jc w:val="both"/>
        <w:rPr>
          <w:bCs/>
          <w:iCs/>
          <w:color w:val="000000" w:themeColor="text1"/>
          <w:sz w:val="22"/>
          <w:szCs w:val="22"/>
        </w:rPr>
      </w:pPr>
      <w:r>
        <w:rPr>
          <w:bCs/>
          <w:iCs/>
          <w:color w:val="000000" w:themeColor="text1"/>
          <w:sz w:val="22"/>
          <w:szCs w:val="22"/>
        </w:rPr>
        <w:lastRenderedPageBreak/>
        <w:t>In view of</w:t>
      </w:r>
      <w:r w:rsidR="00C322A4">
        <w:rPr>
          <w:bCs/>
          <w:iCs/>
          <w:color w:val="000000" w:themeColor="text1"/>
          <w:sz w:val="22"/>
          <w:szCs w:val="22"/>
        </w:rPr>
        <w:t xml:space="preserve"> the observations presented in the previous sections, we </w:t>
      </w:r>
      <w:r>
        <w:rPr>
          <w:bCs/>
          <w:iCs/>
          <w:color w:val="000000" w:themeColor="text1"/>
          <w:sz w:val="22"/>
          <w:szCs w:val="22"/>
        </w:rPr>
        <w:t xml:space="preserve">consider </w:t>
      </w:r>
      <w:r w:rsidR="0075436E">
        <w:rPr>
          <w:bCs/>
          <w:iCs/>
          <w:color w:val="000000" w:themeColor="text1"/>
          <w:sz w:val="22"/>
          <w:szCs w:val="22"/>
        </w:rPr>
        <w:t xml:space="preserve">a simplification in the </w:t>
      </w:r>
      <w:r w:rsidR="00093299">
        <w:rPr>
          <w:bCs/>
          <w:iCs/>
          <w:color w:val="000000" w:themeColor="text1"/>
          <w:sz w:val="22"/>
          <w:szCs w:val="22"/>
        </w:rPr>
        <w:t xml:space="preserve">EMC testing can be achieved by reducing the number of RAT combinations </w:t>
      </w:r>
      <w:r w:rsidR="00ED6F10">
        <w:rPr>
          <w:bCs/>
          <w:iCs/>
          <w:color w:val="000000" w:themeColor="text1"/>
          <w:sz w:val="22"/>
          <w:szCs w:val="22"/>
        </w:rPr>
        <w:t>defined in some Capability Sets.</w:t>
      </w:r>
      <w:r w:rsidR="00EA4C1B">
        <w:rPr>
          <w:bCs/>
          <w:iCs/>
          <w:color w:val="000000" w:themeColor="text1"/>
          <w:sz w:val="22"/>
          <w:szCs w:val="22"/>
        </w:rPr>
        <w:t xml:space="preserve"> As a result</w:t>
      </w:r>
      <w:r w:rsidR="0056390C">
        <w:rPr>
          <w:bCs/>
          <w:iCs/>
          <w:color w:val="000000" w:themeColor="text1"/>
          <w:sz w:val="22"/>
          <w:szCs w:val="22"/>
        </w:rPr>
        <w:t xml:space="preserve"> of this reduction</w:t>
      </w:r>
      <w:r w:rsidR="00345BD7">
        <w:rPr>
          <w:bCs/>
          <w:iCs/>
          <w:color w:val="000000" w:themeColor="text1"/>
          <w:sz w:val="22"/>
          <w:szCs w:val="22"/>
        </w:rPr>
        <w:t xml:space="preserve">, it will be possible also to reduce the number of Test Configurations considered for EMC testing in </w:t>
      </w:r>
      <w:r w:rsidR="00D70430">
        <w:rPr>
          <w:bCs/>
          <w:iCs/>
          <w:color w:val="000000" w:themeColor="text1"/>
          <w:sz w:val="22"/>
          <w:szCs w:val="22"/>
        </w:rPr>
        <w:t>an</w:t>
      </w:r>
      <w:r w:rsidR="00345BD7">
        <w:rPr>
          <w:bCs/>
          <w:iCs/>
          <w:color w:val="000000" w:themeColor="text1"/>
          <w:sz w:val="22"/>
          <w:szCs w:val="22"/>
        </w:rPr>
        <w:t xml:space="preserve"> M</w:t>
      </w:r>
      <w:r w:rsidR="00D70430">
        <w:rPr>
          <w:bCs/>
          <w:iCs/>
          <w:color w:val="000000" w:themeColor="text1"/>
          <w:sz w:val="22"/>
          <w:szCs w:val="22"/>
        </w:rPr>
        <w:t>SR environment.</w:t>
      </w:r>
    </w:p>
    <w:p w14:paraId="51144009" w14:textId="7653167A" w:rsidR="003E4009" w:rsidRDefault="003326C0" w:rsidP="00BC5B5C">
      <w:pPr>
        <w:spacing w:line="276" w:lineRule="auto"/>
        <w:jc w:val="both"/>
        <w:rPr>
          <w:bCs/>
          <w:iCs/>
          <w:color w:val="000000" w:themeColor="text1"/>
          <w:sz w:val="22"/>
          <w:szCs w:val="22"/>
        </w:rPr>
      </w:pPr>
      <w:r>
        <w:rPr>
          <w:bCs/>
          <w:iCs/>
          <w:color w:val="000000" w:themeColor="text1"/>
          <w:sz w:val="22"/>
          <w:szCs w:val="22"/>
        </w:rPr>
        <w:t xml:space="preserve">The guiding principles of our proposal consider that </w:t>
      </w:r>
      <w:r w:rsidR="005300EC">
        <w:rPr>
          <w:bCs/>
          <w:iCs/>
          <w:color w:val="000000" w:themeColor="text1"/>
          <w:sz w:val="22"/>
          <w:szCs w:val="22"/>
        </w:rPr>
        <w:t>to test MSR the best pick is to create t</w:t>
      </w:r>
      <w:r w:rsidR="00B5187E">
        <w:rPr>
          <w:bCs/>
          <w:iCs/>
          <w:color w:val="000000" w:themeColor="text1"/>
          <w:sz w:val="22"/>
          <w:szCs w:val="22"/>
        </w:rPr>
        <w:t>he “worst”</w:t>
      </w:r>
      <w:r w:rsidR="008550AA">
        <w:rPr>
          <w:bCs/>
          <w:iCs/>
          <w:color w:val="000000" w:themeColor="text1"/>
          <w:sz w:val="22"/>
          <w:szCs w:val="22"/>
        </w:rPr>
        <w:t xml:space="preserve"> </w:t>
      </w:r>
      <w:r w:rsidR="00FA26D3">
        <w:rPr>
          <w:bCs/>
          <w:iCs/>
          <w:color w:val="000000" w:themeColor="text1"/>
          <w:sz w:val="22"/>
          <w:szCs w:val="22"/>
        </w:rPr>
        <w:t>ca</w:t>
      </w:r>
      <w:r w:rsidR="00077627">
        <w:rPr>
          <w:bCs/>
          <w:iCs/>
          <w:color w:val="000000" w:themeColor="text1"/>
          <w:sz w:val="22"/>
          <w:szCs w:val="22"/>
        </w:rPr>
        <w:t>se</w:t>
      </w:r>
      <w:r w:rsidR="00FA26D3">
        <w:rPr>
          <w:bCs/>
          <w:iCs/>
          <w:color w:val="000000" w:themeColor="text1"/>
          <w:sz w:val="22"/>
          <w:szCs w:val="22"/>
        </w:rPr>
        <w:t xml:space="preserve"> (from an EMC testing perspective) for emission and immunity </w:t>
      </w:r>
      <w:r w:rsidR="00BC5B5C">
        <w:rPr>
          <w:bCs/>
          <w:iCs/>
          <w:color w:val="000000" w:themeColor="text1"/>
          <w:sz w:val="22"/>
          <w:szCs w:val="22"/>
        </w:rPr>
        <w:t xml:space="preserve">tests. </w:t>
      </w:r>
      <w:r w:rsidR="00077627">
        <w:rPr>
          <w:bCs/>
          <w:iCs/>
          <w:color w:val="000000" w:themeColor="text1"/>
          <w:sz w:val="22"/>
          <w:szCs w:val="22"/>
        </w:rPr>
        <w:t xml:space="preserve">Currently the </w:t>
      </w:r>
      <w:r w:rsidR="007B361A">
        <w:rPr>
          <w:bCs/>
          <w:iCs/>
          <w:color w:val="000000" w:themeColor="text1"/>
          <w:sz w:val="22"/>
          <w:szCs w:val="22"/>
        </w:rPr>
        <w:t xml:space="preserve">Capability Sets for </w:t>
      </w:r>
      <w:r w:rsidR="00077627">
        <w:rPr>
          <w:bCs/>
          <w:iCs/>
          <w:color w:val="000000" w:themeColor="text1"/>
          <w:sz w:val="22"/>
          <w:szCs w:val="22"/>
        </w:rPr>
        <w:t>MSR standar</w:t>
      </w:r>
      <w:r w:rsidR="00AD031C">
        <w:rPr>
          <w:bCs/>
          <w:iCs/>
          <w:color w:val="000000" w:themeColor="text1"/>
          <w:sz w:val="22"/>
          <w:szCs w:val="22"/>
        </w:rPr>
        <w:t xml:space="preserve">d </w:t>
      </w:r>
      <w:r w:rsidR="007E15FC">
        <w:rPr>
          <w:bCs/>
          <w:iCs/>
          <w:color w:val="000000" w:themeColor="text1"/>
          <w:sz w:val="22"/>
          <w:szCs w:val="22"/>
        </w:rPr>
        <w:t>add a new combination when a new RATs</w:t>
      </w:r>
      <w:r w:rsidR="00975C08">
        <w:rPr>
          <w:bCs/>
          <w:iCs/>
          <w:color w:val="000000" w:themeColor="text1"/>
          <w:sz w:val="22"/>
          <w:szCs w:val="22"/>
        </w:rPr>
        <w:t xml:space="preserve"> comes in. Even though, this </w:t>
      </w:r>
      <w:r w:rsidR="007A6AA6">
        <w:rPr>
          <w:bCs/>
          <w:iCs/>
          <w:color w:val="000000" w:themeColor="text1"/>
          <w:sz w:val="22"/>
          <w:szCs w:val="22"/>
        </w:rPr>
        <w:t xml:space="preserve">principle looks for an understandable </w:t>
      </w:r>
      <w:r w:rsidR="008238F5">
        <w:rPr>
          <w:bCs/>
          <w:iCs/>
          <w:color w:val="000000" w:themeColor="text1"/>
          <w:sz w:val="22"/>
          <w:szCs w:val="22"/>
        </w:rPr>
        <w:t xml:space="preserve">follow up of technical developments, it might not be the more efficient way </w:t>
      </w:r>
      <w:r w:rsidR="00A2589B">
        <w:rPr>
          <w:bCs/>
          <w:iCs/>
          <w:color w:val="000000" w:themeColor="text1"/>
          <w:sz w:val="22"/>
          <w:szCs w:val="22"/>
        </w:rPr>
        <w:t xml:space="preserve">from an EMC testing perspective. </w:t>
      </w:r>
    </w:p>
    <w:p w14:paraId="4D351009" w14:textId="5EA2968D" w:rsidR="00D02C56" w:rsidRDefault="004D7F44" w:rsidP="00D02C56">
      <w:pPr>
        <w:spacing w:line="276" w:lineRule="auto"/>
        <w:jc w:val="both"/>
        <w:rPr>
          <w:bCs/>
          <w:iCs/>
          <w:color w:val="000000" w:themeColor="text1"/>
          <w:sz w:val="22"/>
          <w:szCs w:val="22"/>
          <w:lang w:val="en-US"/>
        </w:rPr>
      </w:pPr>
      <w:r>
        <w:rPr>
          <w:bCs/>
          <w:iCs/>
          <w:color w:val="000000" w:themeColor="text1"/>
          <w:sz w:val="22"/>
          <w:szCs w:val="22"/>
        </w:rPr>
        <w:t xml:space="preserve">The RATs technologies can be classified in two types: Narrow band and Wide band solutions. </w:t>
      </w:r>
      <w:r w:rsidR="00715ECF">
        <w:rPr>
          <w:bCs/>
          <w:iCs/>
          <w:color w:val="000000" w:themeColor="text1"/>
          <w:sz w:val="22"/>
          <w:szCs w:val="22"/>
        </w:rPr>
        <w:t xml:space="preserve">A simplification </w:t>
      </w:r>
      <w:r w:rsidR="00A110EC">
        <w:rPr>
          <w:bCs/>
          <w:iCs/>
          <w:color w:val="000000" w:themeColor="text1"/>
          <w:sz w:val="22"/>
          <w:szCs w:val="22"/>
        </w:rPr>
        <w:t xml:space="preserve">could consider this principle as a mechanism to achieve a test reduction. </w:t>
      </w:r>
      <w:r w:rsidR="001D5FCB">
        <w:rPr>
          <w:bCs/>
          <w:iCs/>
          <w:color w:val="000000" w:themeColor="text1"/>
          <w:sz w:val="22"/>
          <w:szCs w:val="22"/>
          <w:lang w:val="en-US"/>
        </w:rPr>
        <w:t xml:space="preserve">GSM is a RAT with a low ratio of immunity failure. </w:t>
      </w:r>
      <w:r w:rsidR="001D5FCB" w:rsidRPr="00EC6B1C">
        <w:rPr>
          <w:bCs/>
          <w:iCs/>
          <w:color w:val="000000" w:themeColor="text1"/>
          <w:sz w:val="22"/>
          <w:szCs w:val="22"/>
          <w:lang w:val="en-US"/>
        </w:rPr>
        <w:t xml:space="preserve"> </w:t>
      </w:r>
      <w:r w:rsidR="001D5FCB">
        <w:rPr>
          <w:bCs/>
          <w:iCs/>
          <w:color w:val="000000" w:themeColor="text1"/>
          <w:sz w:val="22"/>
          <w:szCs w:val="22"/>
          <w:lang w:val="en-US"/>
        </w:rPr>
        <w:t xml:space="preserve">In </w:t>
      </w:r>
      <w:r w:rsidR="00CB6CF3">
        <w:rPr>
          <w:bCs/>
          <w:iCs/>
          <w:color w:val="000000" w:themeColor="text1"/>
          <w:sz w:val="22"/>
          <w:szCs w:val="22"/>
          <w:lang w:val="en-US"/>
        </w:rPr>
        <w:t>addition,</w:t>
      </w:r>
      <w:r w:rsidR="001D5FCB">
        <w:rPr>
          <w:bCs/>
          <w:iCs/>
          <w:color w:val="000000" w:themeColor="text1"/>
          <w:sz w:val="22"/>
          <w:szCs w:val="22"/>
          <w:lang w:val="en-US"/>
        </w:rPr>
        <w:t xml:space="preserve"> </w:t>
      </w:r>
      <w:r w:rsidR="001D5FCB" w:rsidRPr="00517126">
        <w:rPr>
          <w:bCs/>
          <w:iCs/>
          <w:color w:val="000000" w:themeColor="text1"/>
          <w:sz w:val="22"/>
          <w:szCs w:val="22"/>
          <w:lang w:val="en-US"/>
        </w:rPr>
        <w:t>the test amplitude on receiver RX QUAL is -47 dBm (acc</w:t>
      </w:r>
      <w:r w:rsidR="001D5FCB">
        <w:rPr>
          <w:bCs/>
          <w:iCs/>
          <w:color w:val="000000" w:themeColor="text1"/>
          <w:sz w:val="22"/>
          <w:szCs w:val="22"/>
          <w:lang w:val="en-US"/>
        </w:rPr>
        <w:t>ording</w:t>
      </w:r>
      <w:r w:rsidR="001D5FCB" w:rsidRPr="00517126">
        <w:rPr>
          <w:bCs/>
          <w:iCs/>
          <w:color w:val="000000" w:themeColor="text1"/>
          <w:sz w:val="22"/>
          <w:szCs w:val="22"/>
          <w:lang w:val="en-US"/>
        </w:rPr>
        <w:t xml:space="preserve"> to</w:t>
      </w:r>
      <w:r w:rsidR="001D5FCB">
        <w:rPr>
          <w:bCs/>
          <w:iCs/>
          <w:color w:val="000000" w:themeColor="text1"/>
          <w:sz w:val="22"/>
          <w:szCs w:val="22"/>
          <w:lang w:val="en-US"/>
        </w:rPr>
        <w:t xml:space="preserve"> the standard</w:t>
      </w:r>
      <w:r w:rsidR="001D5FCB" w:rsidRPr="00517126">
        <w:rPr>
          <w:bCs/>
          <w:iCs/>
          <w:color w:val="000000" w:themeColor="text1"/>
          <w:sz w:val="22"/>
          <w:szCs w:val="22"/>
          <w:lang w:val="en-US"/>
        </w:rPr>
        <w:t>)</w:t>
      </w:r>
      <w:r w:rsidR="001D5FCB">
        <w:rPr>
          <w:bCs/>
          <w:iCs/>
          <w:color w:val="000000" w:themeColor="text1"/>
          <w:sz w:val="22"/>
          <w:szCs w:val="22"/>
          <w:lang w:val="en-US"/>
        </w:rPr>
        <w:t xml:space="preserve">. It can be stated that a </w:t>
      </w:r>
      <w:r w:rsidR="001D5FCB" w:rsidRPr="00517126">
        <w:rPr>
          <w:bCs/>
          <w:iCs/>
          <w:color w:val="000000" w:themeColor="text1"/>
          <w:sz w:val="22"/>
          <w:szCs w:val="22"/>
          <w:lang w:val="en-US"/>
        </w:rPr>
        <w:t>very strong signal lead to very strong immunity</w:t>
      </w:r>
      <w:r w:rsidR="001D5FCB">
        <w:rPr>
          <w:bCs/>
          <w:iCs/>
          <w:color w:val="000000" w:themeColor="text1"/>
          <w:sz w:val="22"/>
          <w:szCs w:val="22"/>
          <w:lang w:val="en-US"/>
        </w:rPr>
        <w:t>, which does not represent the worst testing case. NB-IoT</w:t>
      </w:r>
      <w:r w:rsidR="001D5FCB" w:rsidRPr="00281782">
        <w:rPr>
          <w:bCs/>
          <w:iCs/>
          <w:color w:val="000000" w:themeColor="text1"/>
          <w:sz w:val="22"/>
          <w:szCs w:val="22"/>
          <w:lang w:val="en-US"/>
        </w:rPr>
        <w:t xml:space="preserve"> has narrow bandwidth but high amplitude (high power density) for emission.</w:t>
      </w:r>
      <w:r w:rsidR="001D5FCB" w:rsidRPr="001D5FCB">
        <w:rPr>
          <w:bCs/>
          <w:iCs/>
          <w:color w:val="000000" w:themeColor="text1"/>
          <w:sz w:val="22"/>
          <w:szCs w:val="22"/>
          <w:lang w:val="en-US"/>
        </w:rPr>
        <w:t xml:space="preserve"> </w:t>
      </w:r>
      <w:r w:rsidR="001D5FCB">
        <w:rPr>
          <w:bCs/>
          <w:iCs/>
          <w:color w:val="000000" w:themeColor="text1"/>
          <w:sz w:val="22"/>
          <w:szCs w:val="22"/>
          <w:lang w:val="en-US"/>
        </w:rPr>
        <w:t xml:space="preserve">On the other hand, </w:t>
      </w:r>
      <w:r w:rsidR="00B05477">
        <w:rPr>
          <w:bCs/>
          <w:iCs/>
          <w:color w:val="000000" w:themeColor="text1"/>
          <w:sz w:val="22"/>
          <w:szCs w:val="22"/>
          <w:lang w:val="en-US"/>
        </w:rPr>
        <w:t xml:space="preserve">for the wideband category, </w:t>
      </w:r>
      <w:r w:rsidR="00D02C56">
        <w:rPr>
          <w:bCs/>
          <w:iCs/>
          <w:color w:val="000000" w:themeColor="text1"/>
          <w:sz w:val="22"/>
          <w:szCs w:val="22"/>
          <w:lang w:val="en-US"/>
        </w:rPr>
        <w:t>WCDMA i</w:t>
      </w:r>
      <w:r w:rsidR="00D02C56" w:rsidRPr="00D02C56">
        <w:rPr>
          <w:bCs/>
          <w:iCs/>
          <w:color w:val="000000" w:themeColor="text1"/>
          <w:sz w:val="22"/>
          <w:szCs w:val="22"/>
          <w:lang w:val="en-US"/>
        </w:rPr>
        <w:t>mmunity</w:t>
      </w:r>
      <w:r w:rsidR="00D02C56">
        <w:rPr>
          <w:bCs/>
          <w:iCs/>
          <w:color w:val="000000" w:themeColor="text1"/>
          <w:sz w:val="22"/>
          <w:szCs w:val="22"/>
          <w:lang w:val="en-US"/>
        </w:rPr>
        <w:t xml:space="preserve"> is</w:t>
      </w:r>
      <w:r w:rsidR="00D02C56" w:rsidRPr="00D02C56">
        <w:rPr>
          <w:bCs/>
          <w:iCs/>
          <w:color w:val="000000" w:themeColor="text1"/>
          <w:sz w:val="22"/>
          <w:szCs w:val="22"/>
          <w:lang w:val="en-US"/>
        </w:rPr>
        <w:t xml:space="preserve"> verified via RNC-sim measuring BER,</w:t>
      </w:r>
      <w:r w:rsidR="00D02C56">
        <w:rPr>
          <w:bCs/>
          <w:iCs/>
          <w:color w:val="000000" w:themeColor="text1"/>
          <w:sz w:val="22"/>
          <w:szCs w:val="22"/>
          <w:lang w:val="en-US"/>
        </w:rPr>
        <w:t xml:space="preserve"> </w:t>
      </w:r>
      <w:r w:rsidR="00D02C56" w:rsidRPr="00D02C56">
        <w:rPr>
          <w:bCs/>
          <w:iCs/>
          <w:color w:val="000000" w:themeColor="text1"/>
          <w:sz w:val="22"/>
          <w:szCs w:val="22"/>
          <w:lang w:val="en-US"/>
        </w:rPr>
        <w:t>BLER</w:t>
      </w:r>
      <w:r w:rsidR="007E3A54">
        <w:rPr>
          <w:bCs/>
          <w:iCs/>
          <w:color w:val="000000" w:themeColor="text1"/>
          <w:sz w:val="22"/>
          <w:szCs w:val="22"/>
          <w:lang w:val="en-US"/>
        </w:rPr>
        <w:t>. This data is fault co</w:t>
      </w:r>
      <w:r w:rsidR="00D02C56" w:rsidRPr="00D02C56">
        <w:rPr>
          <w:bCs/>
          <w:iCs/>
          <w:color w:val="000000" w:themeColor="text1"/>
          <w:sz w:val="22"/>
          <w:szCs w:val="22"/>
          <w:lang w:val="en-US"/>
        </w:rPr>
        <w:t>rrected in RNC-sim</w:t>
      </w:r>
      <w:r w:rsidR="007E3A54">
        <w:rPr>
          <w:bCs/>
          <w:iCs/>
          <w:color w:val="000000" w:themeColor="text1"/>
          <w:sz w:val="22"/>
          <w:szCs w:val="22"/>
          <w:lang w:val="en-US"/>
        </w:rPr>
        <w:t xml:space="preserve">, which do not represent the </w:t>
      </w:r>
      <w:r w:rsidR="00F271EC">
        <w:rPr>
          <w:bCs/>
          <w:iCs/>
          <w:color w:val="000000" w:themeColor="text1"/>
          <w:sz w:val="22"/>
          <w:szCs w:val="22"/>
          <w:lang w:val="en-US"/>
        </w:rPr>
        <w:t>worst-case</w:t>
      </w:r>
      <w:r w:rsidR="007E3A54">
        <w:rPr>
          <w:bCs/>
          <w:iCs/>
          <w:color w:val="000000" w:themeColor="text1"/>
          <w:sz w:val="22"/>
          <w:szCs w:val="22"/>
          <w:lang w:val="en-US"/>
        </w:rPr>
        <w:t xml:space="preserve"> scenario</w:t>
      </w:r>
      <w:r w:rsidR="00701F7B">
        <w:rPr>
          <w:bCs/>
          <w:iCs/>
          <w:color w:val="000000" w:themeColor="text1"/>
          <w:sz w:val="22"/>
          <w:szCs w:val="22"/>
          <w:lang w:val="en-US"/>
        </w:rPr>
        <w:t xml:space="preserve"> LTE</w:t>
      </w:r>
      <w:r w:rsidR="00D02C56" w:rsidRPr="00D02C56">
        <w:rPr>
          <w:bCs/>
          <w:iCs/>
          <w:color w:val="000000" w:themeColor="text1"/>
          <w:sz w:val="22"/>
          <w:szCs w:val="22"/>
          <w:lang w:val="en-US"/>
        </w:rPr>
        <w:t xml:space="preserve"> is immunity verified with (the best) </w:t>
      </w:r>
      <w:r w:rsidR="00701F7B">
        <w:rPr>
          <w:bCs/>
          <w:iCs/>
          <w:color w:val="000000" w:themeColor="text1"/>
          <w:sz w:val="22"/>
          <w:szCs w:val="22"/>
          <w:lang w:val="en-US"/>
        </w:rPr>
        <w:t>t</w:t>
      </w:r>
      <w:r w:rsidR="00D02C56" w:rsidRPr="00D02C56">
        <w:rPr>
          <w:bCs/>
          <w:iCs/>
          <w:color w:val="000000" w:themeColor="text1"/>
          <w:sz w:val="22"/>
          <w:szCs w:val="22"/>
          <w:lang w:val="en-US"/>
        </w:rPr>
        <w:t>hroughput UL/DL,</w:t>
      </w:r>
      <w:r w:rsidR="00DD7FA7">
        <w:rPr>
          <w:bCs/>
          <w:iCs/>
          <w:color w:val="000000" w:themeColor="text1"/>
          <w:sz w:val="22"/>
          <w:szCs w:val="22"/>
          <w:lang w:val="en-US"/>
        </w:rPr>
        <w:t xml:space="preserve"> which </w:t>
      </w:r>
      <w:r w:rsidR="00C90C20">
        <w:rPr>
          <w:bCs/>
          <w:iCs/>
          <w:color w:val="000000" w:themeColor="text1"/>
          <w:sz w:val="22"/>
          <w:szCs w:val="22"/>
          <w:lang w:val="en-US"/>
        </w:rPr>
        <w:t xml:space="preserve">is </w:t>
      </w:r>
      <w:r w:rsidR="00C90C20" w:rsidRPr="00D02C56">
        <w:rPr>
          <w:bCs/>
          <w:iCs/>
          <w:color w:val="000000" w:themeColor="text1"/>
          <w:sz w:val="22"/>
          <w:szCs w:val="22"/>
          <w:lang w:val="en-US"/>
        </w:rPr>
        <w:t>sensitive</w:t>
      </w:r>
      <w:r w:rsidR="00D02C56" w:rsidRPr="00D02C56">
        <w:rPr>
          <w:bCs/>
          <w:iCs/>
          <w:color w:val="000000" w:themeColor="text1"/>
          <w:sz w:val="22"/>
          <w:szCs w:val="22"/>
          <w:lang w:val="en-US"/>
        </w:rPr>
        <w:t xml:space="preserve"> to immunity </w:t>
      </w:r>
      <w:r w:rsidR="00DD7FA7">
        <w:rPr>
          <w:bCs/>
          <w:iCs/>
          <w:color w:val="000000" w:themeColor="text1"/>
          <w:sz w:val="22"/>
          <w:szCs w:val="22"/>
          <w:lang w:val="en-US"/>
        </w:rPr>
        <w:t>and</w:t>
      </w:r>
      <w:r w:rsidR="00D02C56" w:rsidRPr="00D02C56">
        <w:rPr>
          <w:bCs/>
          <w:iCs/>
          <w:color w:val="000000" w:themeColor="text1"/>
          <w:sz w:val="22"/>
          <w:szCs w:val="22"/>
          <w:lang w:val="en-US"/>
        </w:rPr>
        <w:t xml:space="preserve"> react</w:t>
      </w:r>
      <w:r w:rsidR="00DD7FA7">
        <w:rPr>
          <w:bCs/>
          <w:iCs/>
          <w:color w:val="000000" w:themeColor="text1"/>
          <w:sz w:val="22"/>
          <w:szCs w:val="22"/>
          <w:lang w:val="en-US"/>
        </w:rPr>
        <w:t>s</w:t>
      </w:r>
      <w:r w:rsidR="00D02C56" w:rsidRPr="00D02C56">
        <w:rPr>
          <w:bCs/>
          <w:iCs/>
          <w:color w:val="000000" w:themeColor="text1"/>
          <w:sz w:val="22"/>
          <w:szCs w:val="22"/>
          <w:lang w:val="en-US"/>
        </w:rPr>
        <w:t xml:space="preserve"> very swift during immunity problems</w:t>
      </w:r>
      <w:r w:rsidR="00DD7FA7">
        <w:rPr>
          <w:bCs/>
          <w:iCs/>
          <w:color w:val="000000" w:themeColor="text1"/>
          <w:sz w:val="22"/>
          <w:szCs w:val="22"/>
          <w:lang w:val="en-US"/>
        </w:rPr>
        <w:t>. It is v</w:t>
      </w:r>
      <w:r w:rsidR="00D02C56" w:rsidRPr="00D02C56">
        <w:rPr>
          <w:bCs/>
          <w:iCs/>
          <w:color w:val="000000" w:themeColor="text1"/>
          <w:sz w:val="22"/>
          <w:szCs w:val="22"/>
          <w:lang w:val="en-US"/>
        </w:rPr>
        <w:t>ery similar to NR.</w:t>
      </w:r>
      <w:r w:rsidR="00301551">
        <w:rPr>
          <w:bCs/>
          <w:iCs/>
          <w:color w:val="000000" w:themeColor="text1"/>
          <w:sz w:val="22"/>
          <w:szCs w:val="22"/>
          <w:lang w:val="en-US"/>
        </w:rPr>
        <w:t xml:space="preserve"> </w:t>
      </w:r>
    </w:p>
    <w:p w14:paraId="2B6F7959" w14:textId="612F039D" w:rsidR="003C1966" w:rsidRPr="003C1966" w:rsidRDefault="003C1966" w:rsidP="000A467A">
      <w:pPr>
        <w:spacing w:line="276" w:lineRule="auto"/>
        <w:jc w:val="both"/>
        <w:rPr>
          <w:bCs/>
          <w:i/>
          <w:iCs/>
          <w:color w:val="000000" w:themeColor="text1"/>
          <w:sz w:val="22"/>
          <w:szCs w:val="22"/>
        </w:rPr>
      </w:pPr>
      <w:r w:rsidRPr="003C1966">
        <w:rPr>
          <w:b/>
          <w:color w:val="000000" w:themeColor="text1"/>
          <w:sz w:val="22"/>
          <w:szCs w:val="22"/>
        </w:rPr>
        <w:t>Observation 7:</w:t>
      </w:r>
      <w:r w:rsidRPr="003C1966">
        <w:rPr>
          <w:b/>
          <w:i/>
          <w:iCs/>
          <w:color w:val="000000" w:themeColor="text1"/>
          <w:sz w:val="22"/>
          <w:szCs w:val="22"/>
        </w:rPr>
        <w:t xml:space="preserve"> By grouping GSM and NB-IoT in the narrow band category and WCDMA and LTE in the Wide band category, we have a starting point to develop a RAT-agnostic analysis based on the aforementioned categorization.</w:t>
      </w:r>
    </w:p>
    <w:p w14:paraId="5FD7CB9F" w14:textId="35A9731E" w:rsidR="00505D27" w:rsidRPr="00C90C20" w:rsidRDefault="00CB6CF3" w:rsidP="000A467A">
      <w:pPr>
        <w:spacing w:line="276" w:lineRule="auto"/>
        <w:jc w:val="both"/>
        <w:rPr>
          <w:bCs/>
          <w:iCs/>
          <w:color w:val="000000" w:themeColor="text1"/>
          <w:sz w:val="22"/>
          <w:szCs w:val="22"/>
        </w:rPr>
      </w:pPr>
      <w:r w:rsidRPr="00C90C20">
        <w:rPr>
          <w:bCs/>
          <w:iCs/>
          <w:color w:val="000000" w:themeColor="text1"/>
          <w:sz w:val="22"/>
          <w:szCs w:val="22"/>
        </w:rPr>
        <w:t xml:space="preserve">As an example of the possibilities of this proposal in the following figures, we shared a </w:t>
      </w:r>
      <w:r w:rsidR="00D74C54" w:rsidRPr="00C90C20">
        <w:rPr>
          <w:bCs/>
          <w:iCs/>
          <w:color w:val="000000" w:themeColor="text1"/>
          <w:sz w:val="22"/>
          <w:szCs w:val="22"/>
        </w:rPr>
        <w:t>Radiated Spurious emission results comparison between LTE+IoT+GSM+WCDM</w:t>
      </w:r>
      <w:r w:rsidR="00743F2F" w:rsidRPr="00C90C20">
        <w:rPr>
          <w:bCs/>
          <w:iCs/>
          <w:color w:val="000000" w:themeColor="text1"/>
          <w:sz w:val="22"/>
          <w:szCs w:val="22"/>
        </w:rPr>
        <w:t>A</w:t>
      </w:r>
      <w:r w:rsidR="00664E3A" w:rsidRPr="00C90C20">
        <w:rPr>
          <w:bCs/>
          <w:iCs/>
          <w:color w:val="000000" w:themeColor="text1"/>
          <w:sz w:val="22"/>
          <w:szCs w:val="22"/>
        </w:rPr>
        <w:t xml:space="preserve"> (Figure 1)</w:t>
      </w:r>
      <w:r w:rsidR="00743F2F" w:rsidRPr="00C90C20">
        <w:rPr>
          <w:bCs/>
          <w:iCs/>
          <w:color w:val="000000" w:themeColor="text1"/>
          <w:sz w:val="22"/>
          <w:szCs w:val="22"/>
        </w:rPr>
        <w:t xml:space="preserve"> and a scena</w:t>
      </w:r>
      <w:r w:rsidR="00CA5F40" w:rsidRPr="00C90C20">
        <w:rPr>
          <w:bCs/>
          <w:iCs/>
          <w:color w:val="000000" w:themeColor="text1"/>
          <w:sz w:val="22"/>
          <w:szCs w:val="22"/>
        </w:rPr>
        <w:t xml:space="preserve">rio where only LTE+IoT </w:t>
      </w:r>
      <w:r w:rsidR="00664E3A" w:rsidRPr="00C90C20">
        <w:rPr>
          <w:bCs/>
          <w:iCs/>
          <w:color w:val="000000" w:themeColor="text1"/>
          <w:sz w:val="22"/>
          <w:szCs w:val="22"/>
        </w:rPr>
        <w:t xml:space="preserve">(Figure 2) </w:t>
      </w:r>
      <w:r w:rsidR="00CA5F40" w:rsidRPr="00C90C20">
        <w:rPr>
          <w:bCs/>
          <w:iCs/>
          <w:color w:val="000000" w:themeColor="text1"/>
          <w:sz w:val="22"/>
          <w:szCs w:val="22"/>
        </w:rPr>
        <w:t xml:space="preserve">RATs are tested. Test is </w:t>
      </w:r>
      <w:r w:rsidR="00C012CA" w:rsidRPr="00C90C20">
        <w:rPr>
          <w:bCs/>
          <w:iCs/>
          <w:color w:val="000000" w:themeColor="text1"/>
          <w:sz w:val="22"/>
          <w:szCs w:val="22"/>
        </w:rPr>
        <w:t xml:space="preserve">applied to a dual BS operating in Bands </w:t>
      </w:r>
      <w:r w:rsidR="00017F44" w:rsidRPr="00C90C20">
        <w:rPr>
          <w:bCs/>
          <w:iCs/>
          <w:color w:val="000000" w:themeColor="text1"/>
          <w:sz w:val="22"/>
          <w:szCs w:val="22"/>
        </w:rPr>
        <w:t>1 and 3.</w:t>
      </w:r>
    </w:p>
    <w:p w14:paraId="75F5A541" w14:textId="77777777" w:rsidR="003C77B6" w:rsidRPr="00EC6B1C" w:rsidRDefault="003C77B6" w:rsidP="003C77B6">
      <w:pPr>
        <w:tabs>
          <w:tab w:val="left" w:pos="2803"/>
        </w:tabs>
        <w:jc w:val="center"/>
        <w:rPr>
          <w:sz w:val="22"/>
          <w:szCs w:val="22"/>
        </w:rPr>
      </w:pPr>
      <w:r w:rsidRPr="00EC6B1C">
        <w:rPr>
          <w:noProof/>
          <w:sz w:val="22"/>
          <w:szCs w:val="22"/>
        </w:rPr>
        <w:drawing>
          <wp:inline distT="0" distB="0" distL="0" distR="0" wp14:anchorId="65E19D08" wp14:editId="1B523AC3">
            <wp:extent cx="5731510" cy="2988952"/>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2988952"/>
                    </a:xfrm>
                    <a:prstGeom prst="rect">
                      <a:avLst/>
                    </a:prstGeom>
                    <a:noFill/>
                    <a:ln>
                      <a:noFill/>
                    </a:ln>
                  </pic:spPr>
                </pic:pic>
              </a:graphicData>
            </a:graphic>
          </wp:inline>
        </w:drawing>
      </w:r>
    </w:p>
    <w:p w14:paraId="3DDDE158" w14:textId="380961E4" w:rsidR="009B62B5" w:rsidRPr="009B62B5" w:rsidRDefault="003C77B6" w:rsidP="009B62B5">
      <w:pPr>
        <w:spacing w:after="0"/>
        <w:jc w:val="center"/>
        <w:rPr>
          <w:b/>
          <w:iCs/>
          <w:color w:val="000000" w:themeColor="text1"/>
          <w:sz w:val="22"/>
          <w:szCs w:val="22"/>
        </w:rPr>
      </w:pPr>
      <w:r w:rsidRPr="009B62B5">
        <w:rPr>
          <w:b/>
          <w:iCs/>
          <w:color w:val="000000" w:themeColor="text1"/>
          <w:sz w:val="22"/>
          <w:szCs w:val="22"/>
        </w:rPr>
        <w:t xml:space="preserve">Figure 1. Radiated Spurious Emission result for </w:t>
      </w:r>
      <w:r w:rsidR="009B62B5" w:rsidRPr="009B62B5">
        <w:rPr>
          <w:b/>
          <w:iCs/>
          <w:color w:val="000000" w:themeColor="text1"/>
          <w:sz w:val="22"/>
          <w:szCs w:val="22"/>
        </w:rPr>
        <w:t>dual band BS</w:t>
      </w:r>
      <w:r w:rsidR="0095043A">
        <w:rPr>
          <w:b/>
          <w:iCs/>
          <w:color w:val="000000" w:themeColor="text1"/>
          <w:sz w:val="22"/>
          <w:szCs w:val="22"/>
        </w:rPr>
        <w:t xml:space="preserve"> (</w:t>
      </w:r>
      <w:r w:rsidR="0095043A" w:rsidRPr="0095043A">
        <w:rPr>
          <w:b/>
          <w:iCs/>
          <w:color w:val="000000" w:themeColor="text1"/>
          <w:sz w:val="22"/>
          <w:szCs w:val="22"/>
        </w:rPr>
        <w:t>LTE+IoT+GSM+WCDMA</w:t>
      </w:r>
      <w:r w:rsidR="0095043A">
        <w:rPr>
          <w:b/>
          <w:iCs/>
          <w:color w:val="000000" w:themeColor="text1"/>
          <w:sz w:val="22"/>
          <w:szCs w:val="22"/>
        </w:rPr>
        <w:t>)</w:t>
      </w:r>
      <w:r w:rsidR="009B62B5" w:rsidRPr="009B62B5">
        <w:rPr>
          <w:b/>
          <w:iCs/>
          <w:color w:val="000000" w:themeColor="text1"/>
          <w:sz w:val="22"/>
          <w:szCs w:val="22"/>
        </w:rPr>
        <w:t>.</w:t>
      </w:r>
    </w:p>
    <w:p w14:paraId="6BD1ACDD" w14:textId="4FBA6C69" w:rsidR="003C77B6" w:rsidRPr="009B62B5" w:rsidRDefault="003C77B6" w:rsidP="009B62B5">
      <w:pPr>
        <w:spacing w:after="0"/>
        <w:jc w:val="center"/>
        <w:rPr>
          <w:b/>
          <w:iCs/>
          <w:color w:val="000000" w:themeColor="text1"/>
          <w:sz w:val="22"/>
          <w:szCs w:val="22"/>
        </w:rPr>
      </w:pPr>
      <w:r w:rsidRPr="009B62B5">
        <w:rPr>
          <w:b/>
          <w:iCs/>
          <w:color w:val="000000" w:themeColor="text1"/>
          <w:sz w:val="22"/>
          <w:szCs w:val="22"/>
        </w:rPr>
        <w:t>DL Downlink</w:t>
      </w:r>
      <w:r w:rsidRPr="009B62B5">
        <w:rPr>
          <w:b/>
          <w:iCs/>
          <w:color w:val="000000" w:themeColor="text1"/>
          <w:sz w:val="22"/>
          <w:szCs w:val="22"/>
        </w:rPr>
        <w:tab/>
        <w:t>B3: 1805 – 1880 MHz</w:t>
      </w:r>
      <w:r w:rsidRPr="009B62B5">
        <w:rPr>
          <w:b/>
          <w:iCs/>
          <w:color w:val="000000" w:themeColor="text1"/>
          <w:sz w:val="22"/>
          <w:szCs w:val="22"/>
        </w:rPr>
        <w:tab/>
        <w:t>B1: 2110 – 2170 MHz</w:t>
      </w:r>
      <w:r w:rsidRPr="009B62B5">
        <w:rPr>
          <w:b/>
          <w:iCs/>
          <w:color w:val="000000" w:themeColor="text1"/>
          <w:sz w:val="22"/>
          <w:szCs w:val="22"/>
        </w:rPr>
        <w:br/>
        <w:t>Not defined ± 10 MHz on the downlink bands:</w:t>
      </w:r>
      <w:r w:rsidRPr="009B62B5">
        <w:rPr>
          <w:b/>
          <w:iCs/>
          <w:color w:val="000000" w:themeColor="text1"/>
          <w:sz w:val="22"/>
          <w:szCs w:val="22"/>
        </w:rPr>
        <w:tab/>
        <w:t>B3: 1795 – 1890 MHz</w:t>
      </w:r>
      <w:r w:rsidRPr="009B62B5">
        <w:rPr>
          <w:b/>
          <w:iCs/>
          <w:color w:val="000000" w:themeColor="text1"/>
          <w:sz w:val="22"/>
          <w:szCs w:val="22"/>
        </w:rPr>
        <w:tab/>
        <w:t>B1: 2100 – 2180 MHz</w:t>
      </w:r>
    </w:p>
    <w:p w14:paraId="12618225" w14:textId="77777777" w:rsidR="00EC6757" w:rsidRPr="003C77B6" w:rsidRDefault="00EC6757" w:rsidP="000A467A">
      <w:pPr>
        <w:spacing w:line="276" w:lineRule="auto"/>
        <w:jc w:val="both"/>
        <w:rPr>
          <w:bCs/>
          <w:iCs/>
          <w:color w:val="000000" w:themeColor="text1"/>
          <w:sz w:val="22"/>
          <w:szCs w:val="22"/>
        </w:rPr>
      </w:pPr>
    </w:p>
    <w:p w14:paraId="118D4A07" w14:textId="5C3F6ADE" w:rsidR="00EC6757" w:rsidRDefault="0095043A" w:rsidP="0095043A">
      <w:pPr>
        <w:spacing w:line="276" w:lineRule="auto"/>
        <w:jc w:val="center"/>
        <w:rPr>
          <w:bCs/>
          <w:iCs/>
          <w:color w:val="000000" w:themeColor="text1"/>
          <w:sz w:val="22"/>
          <w:szCs w:val="22"/>
          <w:lang w:val="en-US"/>
        </w:rPr>
      </w:pPr>
      <w:r w:rsidRPr="00EC6B1C">
        <w:rPr>
          <w:noProof/>
          <w:sz w:val="22"/>
          <w:szCs w:val="22"/>
        </w:rPr>
        <w:lastRenderedPageBreak/>
        <w:drawing>
          <wp:inline distT="0" distB="0" distL="0" distR="0" wp14:anchorId="1CF18936" wp14:editId="79299170">
            <wp:extent cx="5731510" cy="2223235"/>
            <wp:effectExtent l="0" t="0" r="254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2223235"/>
                    </a:xfrm>
                    <a:prstGeom prst="rect">
                      <a:avLst/>
                    </a:prstGeom>
                    <a:noFill/>
                    <a:ln>
                      <a:noFill/>
                    </a:ln>
                  </pic:spPr>
                </pic:pic>
              </a:graphicData>
            </a:graphic>
          </wp:inline>
        </w:drawing>
      </w:r>
    </w:p>
    <w:p w14:paraId="2D06B78B" w14:textId="0B1F47BD" w:rsidR="0095043A" w:rsidRPr="009B62B5" w:rsidRDefault="0095043A" w:rsidP="0095043A">
      <w:pPr>
        <w:spacing w:after="0"/>
        <w:jc w:val="center"/>
        <w:rPr>
          <w:b/>
          <w:iCs/>
          <w:color w:val="000000" w:themeColor="text1"/>
          <w:sz w:val="22"/>
          <w:szCs w:val="22"/>
        </w:rPr>
      </w:pPr>
      <w:r w:rsidRPr="009B62B5">
        <w:rPr>
          <w:b/>
          <w:iCs/>
          <w:color w:val="000000" w:themeColor="text1"/>
          <w:sz w:val="22"/>
          <w:szCs w:val="22"/>
        </w:rPr>
        <w:t xml:space="preserve">Figure </w:t>
      </w:r>
      <w:r>
        <w:rPr>
          <w:b/>
          <w:iCs/>
          <w:color w:val="000000" w:themeColor="text1"/>
          <w:sz w:val="22"/>
          <w:szCs w:val="22"/>
        </w:rPr>
        <w:t>2</w:t>
      </w:r>
      <w:r w:rsidRPr="009B62B5">
        <w:rPr>
          <w:b/>
          <w:iCs/>
          <w:color w:val="000000" w:themeColor="text1"/>
          <w:sz w:val="22"/>
          <w:szCs w:val="22"/>
        </w:rPr>
        <w:t>. Radiated Spurious Emission result for dual band BS</w:t>
      </w:r>
      <w:r>
        <w:rPr>
          <w:b/>
          <w:iCs/>
          <w:color w:val="000000" w:themeColor="text1"/>
          <w:sz w:val="22"/>
          <w:szCs w:val="22"/>
        </w:rPr>
        <w:t xml:space="preserve"> (</w:t>
      </w:r>
      <w:r w:rsidRPr="0095043A">
        <w:rPr>
          <w:b/>
          <w:iCs/>
          <w:color w:val="000000" w:themeColor="text1"/>
          <w:sz w:val="22"/>
          <w:szCs w:val="22"/>
        </w:rPr>
        <w:t>LTE+IoT</w:t>
      </w:r>
      <w:r>
        <w:rPr>
          <w:b/>
          <w:iCs/>
          <w:color w:val="000000" w:themeColor="text1"/>
          <w:sz w:val="22"/>
          <w:szCs w:val="22"/>
        </w:rPr>
        <w:t>)</w:t>
      </w:r>
      <w:r w:rsidRPr="009B62B5">
        <w:rPr>
          <w:b/>
          <w:iCs/>
          <w:color w:val="000000" w:themeColor="text1"/>
          <w:sz w:val="22"/>
          <w:szCs w:val="22"/>
        </w:rPr>
        <w:t>.</w:t>
      </w:r>
    </w:p>
    <w:p w14:paraId="75BC16C0" w14:textId="77777777" w:rsidR="0095043A" w:rsidRPr="009B62B5" w:rsidRDefault="0095043A" w:rsidP="0095043A">
      <w:pPr>
        <w:spacing w:after="0"/>
        <w:jc w:val="center"/>
        <w:rPr>
          <w:b/>
          <w:iCs/>
          <w:color w:val="000000" w:themeColor="text1"/>
          <w:sz w:val="22"/>
          <w:szCs w:val="22"/>
        </w:rPr>
      </w:pPr>
      <w:r w:rsidRPr="009B62B5">
        <w:rPr>
          <w:b/>
          <w:iCs/>
          <w:color w:val="000000" w:themeColor="text1"/>
          <w:sz w:val="22"/>
          <w:szCs w:val="22"/>
        </w:rPr>
        <w:t>DL Downlink</w:t>
      </w:r>
      <w:r w:rsidRPr="009B62B5">
        <w:rPr>
          <w:b/>
          <w:iCs/>
          <w:color w:val="000000" w:themeColor="text1"/>
          <w:sz w:val="22"/>
          <w:szCs w:val="22"/>
        </w:rPr>
        <w:tab/>
        <w:t>B3: 1805 – 1880 MHz</w:t>
      </w:r>
      <w:r w:rsidRPr="009B62B5">
        <w:rPr>
          <w:b/>
          <w:iCs/>
          <w:color w:val="000000" w:themeColor="text1"/>
          <w:sz w:val="22"/>
          <w:szCs w:val="22"/>
        </w:rPr>
        <w:tab/>
        <w:t>B1: 2110 – 2170 MHz</w:t>
      </w:r>
      <w:r w:rsidRPr="009B62B5">
        <w:rPr>
          <w:b/>
          <w:iCs/>
          <w:color w:val="000000" w:themeColor="text1"/>
          <w:sz w:val="22"/>
          <w:szCs w:val="22"/>
        </w:rPr>
        <w:br/>
        <w:t>Not defined ± 10 MHz on the downlink bands:</w:t>
      </w:r>
      <w:r w:rsidRPr="009B62B5">
        <w:rPr>
          <w:b/>
          <w:iCs/>
          <w:color w:val="000000" w:themeColor="text1"/>
          <w:sz w:val="22"/>
          <w:szCs w:val="22"/>
        </w:rPr>
        <w:tab/>
        <w:t>B3: 1795 – 1890 MHz</w:t>
      </w:r>
      <w:r w:rsidRPr="009B62B5">
        <w:rPr>
          <w:b/>
          <w:iCs/>
          <w:color w:val="000000" w:themeColor="text1"/>
          <w:sz w:val="22"/>
          <w:szCs w:val="22"/>
        </w:rPr>
        <w:tab/>
        <w:t>B1: 2100 – 2180 MHz</w:t>
      </w:r>
    </w:p>
    <w:p w14:paraId="07F3BF83" w14:textId="77777777" w:rsidR="0095043A" w:rsidRPr="0095043A" w:rsidRDefault="0095043A" w:rsidP="000A467A">
      <w:pPr>
        <w:spacing w:line="276" w:lineRule="auto"/>
        <w:jc w:val="both"/>
        <w:rPr>
          <w:bCs/>
          <w:iCs/>
          <w:color w:val="000000" w:themeColor="text1"/>
          <w:sz w:val="22"/>
          <w:szCs w:val="22"/>
        </w:rPr>
      </w:pPr>
    </w:p>
    <w:p w14:paraId="0D6B64E1" w14:textId="4267975B" w:rsidR="00F915E0" w:rsidRDefault="00F915E0" w:rsidP="00EE0D5F">
      <w:pPr>
        <w:spacing w:line="276" w:lineRule="auto"/>
        <w:jc w:val="both"/>
        <w:rPr>
          <w:bCs/>
          <w:iCs/>
          <w:color w:val="000000" w:themeColor="text1"/>
          <w:sz w:val="22"/>
          <w:szCs w:val="22"/>
        </w:rPr>
      </w:pPr>
      <w:r w:rsidRPr="00C90C20">
        <w:rPr>
          <w:bCs/>
          <w:iCs/>
          <w:color w:val="000000" w:themeColor="text1"/>
          <w:sz w:val="22"/>
          <w:szCs w:val="22"/>
        </w:rPr>
        <w:t xml:space="preserve">In the figures, it is possible to see that the spurious level is </w:t>
      </w:r>
      <w:r w:rsidR="00785DE9">
        <w:rPr>
          <w:bCs/>
          <w:iCs/>
          <w:color w:val="000000" w:themeColor="text1"/>
          <w:sz w:val="22"/>
          <w:szCs w:val="22"/>
        </w:rPr>
        <w:t>very similar</w:t>
      </w:r>
      <w:r w:rsidR="00C90C20" w:rsidRPr="00C90C20">
        <w:rPr>
          <w:bCs/>
          <w:iCs/>
          <w:color w:val="000000" w:themeColor="text1"/>
          <w:sz w:val="22"/>
          <w:szCs w:val="22"/>
        </w:rPr>
        <w:t>. The final resu</w:t>
      </w:r>
      <w:r w:rsidR="00785DE9">
        <w:rPr>
          <w:bCs/>
          <w:iCs/>
          <w:color w:val="000000" w:themeColor="text1"/>
          <w:sz w:val="22"/>
          <w:szCs w:val="22"/>
        </w:rPr>
        <w:t xml:space="preserve">lt for </w:t>
      </w:r>
      <w:r w:rsidRPr="00C90C20">
        <w:rPr>
          <w:bCs/>
          <w:iCs/>
          <w:color w:val="000000" w:themeColor="text1"/>
          <w:sz w:val="22"/>
          <w:szCs w:val="22"/>
        </w:rPr>
        <w:t xml:space="preserve">LTE+IOT+GSM+WCDMA LTE configuration is -60,19dBm </w:t>
      </w:r>
      <w:r w:rsidR="00EE0D5F">
        <w:rPr>
          <w:bCs/>
          <w:iCs/>
          <w:color w:val="000000" w:themeColor="text1"/>
          <w:sz w:val="22"/>
          <w:szCs w:val="22"/>
        </w:rPr>
        <w:t xml:space="preserve">while for </w:t>
      </w:r>
      <w:r w:rsidRPr="00C90C20">
        <w:rPr>
          <w:bCs/>
          <w:iCs/>
          <w:color w:val="000000" w:themeColor="text1"/>
          <w:sz w:val="22"/>
          <w:szCs w:val="22"/>
        </w:rPr>
        <w:t>LTE + IOT configuration is -59.92dBm.</w:t>
      </w:r>
      <w:r w:rsidR="00233480">
        <w:rPr>
          <w:bCs/>
          <w:iCs/>
          <w:color w:val="000000" w:themeColor="text1"/>
          <w:sz w:val="22"/>
          <w:szCs w:val="22"/>
        </w:rPr>
        <w:t xml:space="preserve"> From a practical perspective there is no big difference</w:t>
      </w:r>
      <w:r w:rsidR="004B25D0">
        <w:rPr>
          <w:bCs/>
          <w:iCs/>
          <w:color w:val="000000" w:themeColor="text1"/>
          <w:sz w:val="22"/>
          <w:szCs w:val="22"/>
        </w:rPr>
        <w:t xml:space="preserve"> in terms of the impact played by PA</w:t>
      </w:r>
      <w:r w:rsidR="00281302">
        <w:rPr>
          <w:bCs/>
          <w:iCs/>
          <w:color w:val="000000" w:themeColor="text1"/>
          <w:sz w:val="22"/>
          <w:szCs w:val="22"/>
        </w:rPr>
        <w:t xml:space="preserve">, baseband elements or DAC/ADC components. </w:t>
      </w:r>
      <w:r w:rsidR="00012463">
        <w:rPr>
          <w:bCs/>
          <w:iCs/>
          <w:color w:val="000000" w:themeColor="text1"/>
          <w:sz w:val="22"/>
          <w:szCs w:val="22"/>
        </w:rPr>
        <w:t>It is the RF chain the main contributor to EMC problems.</w:t>
      </w:r>
    </w:p>
    <w:p w14:paraId="46B94EB7" w14:textId="77777777" w:rsidR="00FC3581" w:rsidRDefault="00703A27" w:rsidP="000A467A">
      <w:pPr>
        <w:spacing w:line="276" w:lineRule="auto"/>
        <w:jc w:val="both"/>
        <w:rPr>
          <w:bCs/>
          <w:iCs/>
          <w:color w:val="000000" w:themeColor="text1"/>
          <w:sz w:val="22"/>
          <w:szCs w:val="22"/>
        </w:rPr>
        <w:sectPr w:rsidR="00FC3581" w:rsidSect="00D17ACE">
          <w:footnotePr>
            <w:numRestart w:val="eachSect"/>
          </w:footnotePr>
          <w:pgSz w:w="11907" w:h="16840" w:code="9"/>
          <w:pgMar w:top="794" w:right="794" w:bottom="993" w:left="794" w:header="680" w:footer="567" w:gutter="0"/>
          <w:cols w:space="720"/>
          <w:docGrid w:linePitch="272"/>
        </w:sectPr>
      </w:pPr>
      <w:r>
        <w:rPr>
          <w:bCs/>
          <w:iCs/>
          <w:color w:val="000000" w:themeColor="text1"/>
          <w:sz w:val="22"/>
          <w:szCs w:val="22"/>
        </w:rPr>
        <w:t xml:space="preserve">Considering </w:t>
      </w:r>
      <w:r w:rsidR="00F939F2">
        <w:rPr>
          <w:bCs/>
          <w:iCs/>
          <w:color w:val="000000" w:themeColor="text1"/>
          <w:sz w:val="22"/>
          <w:szCs w:val="22"/>
        </w:rPr>
        <w:t xml:space="preserve">both the testing results and the </w:t>
      </w:r>
      <w:r w:rsidR="00E63A98">
        <w:rPr>
          <w:bCs/>
          <w:iCs/>
          <w:color w:val="000000" w:themeColor="text1"/>
          <w:sz w:val="22"/>
          <w:szCs w:val="22"/>
        </w:rPr>
        <w:t xml:space="preserve">observations </w:t>
      </w:r>
      <w:r w:rsidR="00B55629">
        <w:rPr>
          <w:bCs/>
          <w:iCs/>
          <w:color w:val="000000" w:themeColor="text1"/>
          <w:sz w:val="22"/>
          <w:szCs w:val="22"/>
        </w:rPr>
        <w:t xml:space="preserve">presented in this document, </w:t>
      </w:r>
      <w:r w:rsidR="0024277A">
        <w:rPr>
          <w:bCs/>
          <w:iCs/>
          <w:color w:val="000000" w:themeColor="text1"/>
          <w:sz w:val="22"/>
          <w:szCs w:val="22"/>
        </w:rPr>
        <w:t>the EMC test simplification proposal is summarized in table</w:t>
      </w:r>
      <w:r w:rsidR="00FC3581">
        <w:rPr>
          <w:bCs/>
          <w:iCs/>
          <w:color w:val="000000" w:themeColor="text1"/>
          <w:sz w:val="22"/>
          <w:szCs w:val="22"/>
        </w:rPr>
        <w:t xml:space="preserve"> 3.</w:t>
      </w:r>
    </w:p>
    <w:tbl>
      <w:tblPr>
        <w:tblW w:w="7660" w:type="dxa"/>
        <w:tblInd w:w="-436" w:type="dxa"/>
        <w:tblCellMar>
          <w:left w:w="70" w:type="dxa"/>
          <w:right w:w="70" w:type="dxa"/>
        </w:tblCellMar>
        <w:tblLook w:val="04A0" w:firstRow="1" w:lastRow="0" w:firstColumn="1" w:lastColumn="0" w:noHBand="0" w:noVBand="1"/>
      </w:tblPr>
      <w:tblGrid>
        <w:gridCol w:w="1045"/>
        <w:gridCol w:w="632"/>
        <w:gridCol w:w="632"/>
        <w:gridCol w:w="632"/>
        <w:gridCol w:w="632"/>
        <w:gridCol w:w="653"/>
        <w:gridCol w:w="632"/>
        <w:gridCol w:w="653"/>
        <w:gridCol w:w="632"/>
        <w:gridCol w:w="632"/>
        <w:gridCol w:w="632"/>
        <w:gridCol w:w="632"/>
        <w:gridCol w:w="632"/>
        <w:gridCol w:w="632"/>
        <w:gridCol w:w="690"/>
        <w:gridCol w:w="632"/>
        <w:gridCol w:w="1274"/>
        <w:gridCol w:w="2264"/>
        <w:gridCol w:w="653"/>
        <w:gridCol w:w="653"/>
      </w:tblGrid>
      <w:tr w:rsidR="00CB5EC5" w:rsidRPr="00855B8A" w14:paraId="1DF7D70B" w14:textId="77777777" w:rsidTr="00CB5EC5">
        <w:trPr>
          <w:trHeight w:val="246"/>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B8482D8"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lastRenderedPageBreak/>
              <w:t>Capability Set</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9C6353"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CS1</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9B2C3C"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CS2</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AFCE5C5"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3078696"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CS4</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C32866"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CS5</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3F186EE"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CS6</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3D222F1"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CS7</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F935729" w14:textId="77777777" w:rsidR="00855B8A" w:rsidRPr="00855B8A" w:rsidRDefault="00855B8A" w:rsidP="00855B8A">
            <w:pPr>
              <w:spacing w:after="0"/>
              <w:jc w:val="center"/>
              <w:rPr>
                <w:rFonts w:ascii="Arial Narrow" w:eastAsia="Times New Roman" w:hAnsi="Arial Narrow" w:cs="Calibri"/>
                <w:b/>
                <w:bCs/>
                <w:color w:val="000000"/>
                <w:sz w:val="18"/>
                <w:szCs w:val="18"/>
                <w:lang w:val="sv-SE" w:eastAsia="sv-SE"/>
              </w:rPr>
            </w:pPr>
            <w:r w:rsidRPr="00855B8A">
              <w:rPr>
                <w:rFonts w:ascii="Arial Narrow" w:eastAsia="Times New Roman" w:hAnsi="Arial Narrow" w:cs="Calibri"/>
                <w:b/>
                <w:bCs/>
                <w:color w:val="000000"/>
                <w:sz w:val="18"/>
                <w:szCs w:val="18"/>
                <w:lang w:val="sv-SE" w:eastAsia="sv-SE"/>
              </w:rPr>
              <w:t>CS8</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283910A" w14:textId="77777777" w:rsidR="00855B8A" w:rsidRPr="00855B8A" w:rsidRDefault="00855B8A" w:rsidP="00855B8A">
            <w:pPr>
              <w:spacing w:after="0"/>
              <w:jc w:val="center"/>
              <w:rPr>
                <w:rFonts w:ascii="Arial Narrow" w:eastAsia="Times New Roman" w:hAnsi="Arial Narrow" w:cs="Calibri"/>
                <w:b/>
                <w:bCs/>
                <w:color w:val="000000"/>
                <w:sz w:val="18"/>
                <w:szCs w:val="18"/>
                <w:lang w:val="sv-SE" w:eastAsia="sv-SE"/>
              </w:rPr>
            </w:pPr>
            <w:r w:rsidRPr="00855B8A">
              <w:rPr>
                <w:rFonts w:ascii="Arial Narrow" w:eastAsia="Times New Roman" w:hAnsi="Arial Narrow" w:cs="Calibri"/>
                <w:b/>
                <w:bCs/>
                <w:color w:val="000000"/>
                <w:sz w:val="18"/>
                <w:szCs w:val="18"/>
                <w:lang w:val="sv-SE" w:eastAsia="sv-SE"/>
              </w:rPr>
              <w:t>CS9</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6021F9" w14:textId="77777777" w:rsidR="00855B8A" w:rsidRPr="00855B8A" w:rsidRDefault="00855B8A" w:rsidP="00855B8A">
            <w:pPr>
              <w:spacing w:after="0"/>
              <w:jc w:val="center"/>
              <w:rPr>
                <w:rFonts w:ascii="Arial Narrow" w:eastAsia="Times New Roman" w:hAnsi="Arial Narrow" w:cs="Calibri"/>
                <w:b/>
                <w:bCs/>
                <w:color w:val="000000"/>
                <w:sz w:val="18"/>
                <w:szCs w:val="18"/>
                <w:lang w:val="sv-SE" w:eastAsia="sv-SE"/>
              </w:rPr>
            </w:pPr>
            <w:r w:rsidRPr="00855B8A">
              <w:rPr>
                <w:rFonts w:ascii="Arial Narrow" w:eastAsia="Times New Roman" w:hAnsi="Arial Narrow" w:cs="Calibri"/>
                <w:b/>
                <w:bCs/>
                <w:color w:val="000000"/>
                <w:sz w:val="18"/>
                <w:szCs w:val="18"/>
                <w:lang w:val="sv-SE" w:eastAsia="sv-SE"/>
              </w:rPr>
              <w:t>CS10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F041251" w14:textId="77777777" w:rsidR="00855B8A" w:rsidRPr="00855B8A" w:rsidRDefault="00855B8A" w:rsidP="00855B8A">
            <w:pPr>
              <w:spacing w:after="0"/>
              <w:jc w:val="center"/>
              <w:rPr>
                <w:rFonts w:ascii="Arial Narrow" w:eastAsia="Times New Roman" w:hAnsi="Arial Narrow" w:cs="Calibri"/>
                <w:b/>
                <w:bCs/>
                <w:color w:val="000000"/>
                <w:sz w:val="18"/>
                <w:szCs w:val="18"/>
                <w:lang w:val="sv-SE" w:eastAsia="sv-SE"/>
              </w:rPr>
            </w:pPr>
            <w:r w:rsidRPr="00855B8A">
              <w:rPr>
                <w:rFonts w:ascii="Arial Narrow" w:eastAsia="Times New Roman" w:hAnsi="Arial Narrow" w:cs="Calibri"/>
                <w:b/>
                <w:bCs/>
                <w:color w:val="000000"/>
                <w:sz w:val="18"/>
                <w:szCs w:val="18"/>
                <w:lang w:val="sv-SE" w:eastAsia="sv-SE"/>
              </w:rPr>
              <w:t>CS11</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3F847D" w14:textId="77777777" w:rsidR="00855B8A" w:rsidRPr="00855B8A" w:rsidRDefault="00855B8A" w:rsidP="00855B8A">
            <w:pPr>
              <w:spacing w:after="0"/>
              <w:jc w:val="center"/>
              <w:rPr>
                <w:rFonts w:ascii="Arial Narrow" w:eastAsia="Times New Roman" w:hAnsi="Arial Narrow" w:cs="Calibri"/>
                <w:b/>
                <w:bCs/>
                <w:color w:val="000000"/>
                <w:sz w:val="18"/>
                <w:szCs w:val="18"/>
                <w:lang w:val="sv-SE" w:eastAsia="sv-SE"/>
              </w:rPr>
            </w:pPr>
            <w:r w:rsidRPr="00855B8A">
              <w:rPr>
                <w:rFonts w:ascii="Arial Narrow" w:eastAsia="Times New Roman" w:hAnsi="Arial Narrow" w:cs="Calibri"/>
                <w:b/>
                <w:bCs/>
                <w:color w:val="000000"/>
                <w:sz w:val="18"/>
                <w:szCs w:val="18"/>
                <w:lang w:val="sv-SE" w:eastAsia="sv-SE"/>
              </w:rPr>
              <w:t>CS12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1CAB22A" w14:textId="77777777" w:rsidR="00855B8A" w:rsidRPr="00855B8A" w:rsidRDefault="00855B8A" w:rsidP="00855B8A">
            <w:pPr>
              <w:spacing w:after="0"/>
              <w:jc w:val="center"/>
              <w:rPr>
                <w:rFonts w:ascii="Arial Narrow" w:eastAsia="Times New Roman" w:hAnsi="Arial Narrow" w:cs="Calibri"/>
                <w:b/>
                <w:bCs/>
                <w:color w:val="000000"/>
                <w:sz w:val="18"/>
                <w:szCs w:val="18"/>
                <w:lang w:val="sv-SE" w:eastAsia="sv-SE"/>
              </w:rPr>
            </w:pPr>
            <w:r w:rsidRPr="00855B8A">
              <w:rPr>
                <w:rFonts w:ascii="Arial Narrow" w:eastAsia="Times New Roman" w:hAnsi="Arial Narrow" w:cs="Calibri"/>
                <w:b/>
                <w:bCs/>
                <w:color w:val="000000"/>
                <w:sz w:val="18"/>
                <w:szCs w:val="18"/>
                <w:lang w:val="sv-SE" w:eastAsia="sv-SE"/>
              </w:rPr>
              <w:t>CS13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21A74F" w14:textId="77777777" w:rsidR="00855B8A" w:rsidRPr="00855B8A" w:rsidRDefault="00855B8A" w:rsidP="00855B8A">
            <w:pPr>
              <w:spacing w:after="0"/>
              <w:jc w:val="center"/>
              <w:rPr>
                <w:rFonts w:ascii="Arial Narrow" w:eastAsia="Times New Roman" w:hAnsi="Arial Narrow" w:cs="Calibri"/>
                <w:b/>
                <w:bCs/>
                <w:color w:val="000000"/>
                <w:sz w:val="18"/>
                <w:szCs w:val="18"/>
                <w:lang w:val="sv-SE" w:eastAsia="sv-SE"/>
              </w:rPr>
            </w:pPr>
            <w:r w:rsidRPr="00855B8A">
              <w:rPr>
                <w:rFonts w:ascii="Arial Narrow" w:eastAsia="Times New Roman" w:hAnsi="Arial Narrow" w:cs="Calibri"/>
                <w:b/>
                <w:bCs/>
                <w:color w:val="000000"/>
                <w:sz w:val="18"/>
                <w:szCs w:val="18"/>
                <w:lang w:val="sv-SE" w:eastAsia="sv-SE"/>
              </w:rPr>
              <w:t>CS14</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1C686D" w14:textId="77777777" w:rsidR="00855B8A" w:rsidRPr="00855B8A" w:rsidRDefault="00855B8A" w:rsidP="00855B8A">
            <w:pPr>
              <w:spacing w:after="0"/>
              <w:jc w:val="center"/>
              <w:rPr>
                <w:rFonts w:ascii="Arial Narrow" w:eastAsia="Times New Roman" w:hAnsi="Arial Narrow" w:cs="Calibri"/>
                <w:b/>
                <w:bCs/>
                <w:color w:val="000000"/>
                <w:sz w:val="18"/>
                <w:szCs w:val="18"/>
                <w:lang w:val="sv-SE" w:eastAsia="sv-SE"/>
              </w:rPr>
            </w:pPr>
            <w:r w:rsidRPr="00855B8A">
              <w:rPr>
                <w:rFonts w:ascii="Arial Narrow" w:eastAsia="Times New Roman" w:hAnsi="Arial Narrow" w:cs="Calibri"/>
                <w:b/>
                <w:bCs/>
                <w:color w:val="000000"/>
                <w:sz w:val="18"/>
                <w:szCs w:val="18"/>
                <w:lang w:val="sv-SE" w:eastAsia="sv-SE"/>
              </w:rPr>
              <w:t>CS15</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2DEF8A2" w14:textId="77777777" w:rsidR="00855B8A" w:rsidRPr="00855B8A" w:rsidRDefault="00855B8A" w:rsidP="00855B8A">
            <w:pPr>
              <w:spacing w:after="0"/>
              <w:jc w:val="center"/>
              <w:rPr>
                <w:rFonts w:ascii="Arial Narrow" w:eastAsia="Times New Roman" w:hAnsi="Arial Narrow" w:cs="Calibri"/>
                <w:b/>
                <w:bCs/>
                <w:color w:val="000000"/>
                <w:sz w:val="18"/>
                <w:szCs w:val="18"/>
                <w:lang w:val="sv-SE" w:eastAsia="sv-SE"/>
              </w:rPr>
            </w:pPr>
            <w:r w:rsidRPr="00855B8A">
              <w:rPr>
                <w:rFonts w:ascii="Arial Narrow" w:eastAsia="Times New Roman" w:hAnsi="Arial Narrow" w:cs="Calibri"/>
                <w:b/>
                <w:bCs/>
                <w:color w:val="000000"/>
                <w:sz w:val="18"/>
                <w:szCs w:val="18"/>
                <w:lang w:val="sv-SE" w:eastAsia="sv-SE"/>
              </w:rPr>
              <w:t>CS17</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F5534B"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CS16</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4892210"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CS18</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BEC9408"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CS19</w:t>
            </w:r>
          </w:p>
        </w:tc>
      </w:tr>
      <w:tr w:rsidR="00CB5EC5" w:rsidRPr="00855B8A" w14:paraId="7E96EB62" w14:textId="77777777" w:rsidTr="00F24F44">
        <w:trPr>
          <w:trHeight w:val="5071"/>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017632"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MR Configuration</w:t>
            </w:r>
          </w:p>
        </w:tc>
        <w:tc>
          <w:tcPr>
            <w:tcW w:w="0" w:type="auto"/>
            <w:tcBorders>
              <w:top w:val="nil"/>
              <w:left w:val="nil"/>
              <w:bottom w:val="single" w:sz="8" w:space="0" w:color="auto"/>
              <w:right w:val="single" w:sz="8" w:space="0" w:color="auto"/>
            </w:tcBorders>
            <w:shd w:val="clear" w:color="auto" w:fill="auto"/>
            <w:vAlign w:val="center"/>
            <w:hideMark/>
          </w:tcPr>
          <w:p w14:paraId="7B2034A7"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SR</w:t>
            </w:r>
          </w:p>
        </w:tc>
        <w:tc>
          <w:tcPr>
            <w:tcW w:w="0" w:type="auto"/>
            <w:tcBorders>
              <w:top w:val="nil"/>
              <w:left w:val="nil"/>
              <w:bottom w:val="single" w:sz="8" w:space="0" w:color="auto"/>
              <w:right w:val="single" w:sz="8" w:space="0" w:color="auto"/>
            </w:tcBorders>
            <w:shd w:val="clear" w:color="auto" w:fill="auto"/>
            <w:vAlign w:val="center"/>
            <w:hideMark/>
          </w:tcPr>
          <w:p w14:paraId="1D90D85E"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 xml:space="preserve">SR  </w:t>
            </w:r>
          </w:p>
        </w:tc>
        <w:tc>
          <w:tcPr>
            <w:tcW w:w="0" w:type="auto"/>
            <w:tcBorders>
              <w:top w:val="nil"/>
              <w:left w:val="nil"/>
              <w:bottom w:val="single" w:sz="8" w:space="0" w:color="auto"/>
              <w:right w:val="single" w:sz="8" w:space="0" w:color="auto"/>
            </w:tcBorders>
            <w:shd w:val="clear" w:color="auto" w:fill="auto"/>
            <w:vAlign w:val="center"/>
            <w:hideMark/>
          </w:tcPr>
          <w:p w14:paraId="58C93EA0"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WCDMA + LTE</w:t>
            </w:r>
          </w:p>
        </w:tc>
        <w:tc>
          <w:tcPr>
            <w:tcW w:w="0" w:type="auto"/>
            <w:tcBorders>
              <w:top w:val="nil"/>
              <w:left w:val="nil"/>
              <w:bottom w:val="single" w:sz="8" w:space="0" w:color="auto"/>
              <w:right w:val="single" w:sz="8" w:space="0" w:color="auto"/>
            </w:tcBorders>
            <w:shd w:val="clear" w:color="auto" w:fill="auto"/>
            <w:vAlign w:val="center"/>
            <w:hideMark/>
          </w:tcPr>
          <w:p w14:paraId="3B746DF8"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GSM + WCDMA</w:t>
            </w:r>
          </w:p>
        </w:tc>
        <w:tc>
          <w:tcPr>
            <w:tcW w:w="0" w:type="auto"/>
            <w:tcBorders>
              <w:top w:val="nil"/>
              <w:left w:val="nil"/>
              <w:bottom w:val="single" w:sz="8" w:space="0" w:color="auto"/>
              <w:right w:val="single" w:sz="8" w:space="0" w:color="auto"/>
            </w:tcBorders>
            <w:shd w:val="clear" w:color="auto" w:fill="auto"/>
            <w:vAlign w:val="center"/>
            <w:hideMark/>
          </w:tcPr>
          <w:p w14:paraId="7CABA7DE"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GSM + LTE+Io (optional)</w:t>
            </w:r>
          </w:p>
        </w:tc>
        <w:tc>
          <w:tcPr>
            <w:tcW w:w="0" w:type="auto"/>
            <w:tcBorders>
              <w:top w:val="nil"/>
              <w:left w:val="nil"/>
              <w:bottom w:val="single" w:sz="8" w:space="0" w:color="auto"/>
              <w:right w:val="single" w:sz="8" w:space="0" w:color="auto"/>
            </w:tcBorders>
            <w:shd w:val="clear" w:color="auto" w:fill="auto"/>
            <w:vAlign w:val="center"/>
            <w:hideMark/>
          </w:tcPr>
          <w:p w14:paraId="6053FB9D"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GSM + WCDMA + LTE</w:t>
            </w:r>
            <w:r w:rsidRPr="00855B8A">
              <w:rPr>
                <w:rFonts w:ascii="Arial" w:eastAsia="Times New Roman" w:hAnsi="Arial" w:cs="Arial"/>
                <w:color w:val="000000"/>
                <w:sz w:val="16"/>
                <w:szCs w:val="16"/>
                <w:lang w:val="sv-SE" w:eastAsia="sv-SE"/>
              </w:rPr>
              <w:br/>
              <w:t>GSM + WCDMA</w:t>
            </w:r>
            <w:r w:rsidRPr="00855B8A">
              <w:rPr>
                <w:rFonts w:ascii="Arial" w:eastAsia="Times New Roman" w:hAnsi="Arial" w:cs="Arial"/>
                <w:color w:val="000000"/>
                <w:sz w:val="16"/>
                <w:szCs w:val="16"/>
                <w:lang w:val="sv-SE" w:eastAsia="sv-SE"/>
              </w:rPr>
              <w:br/>
              <w:t>GSM + LTE</w:t>
            </w:r>
            <w:r w:rsidRPr="00855B8A">
              <w:rPr>
                <w:rFonts w:ascii="Arial" w:eastAsia="Times New Roman" w:hAnsi="Arial" w:cs="Arial"/>
                <w:color w:val="000000"/>
                <w:sz w:val="16"/>
                <w:szCs w:val="16"/>
                <w:lang w:val="sv-SE" w:eastAsia="sv-SE"/>
              </w:rPr>
              <w:br/>
              <w:t>WCDMA + LTE</w:t>
            </w:r>
          </w:p>
        </w:tc>
        <w:tc>
          <w:tcPr>
            <w:tcW w:w="0" w:type="auto"/>
            <w:tcBorders>
              <w:top w:val="nil"/>
              <w:left w:val="nil"/>
              <w:bottom w:val="single" w:sz="8" w:space="0" w:color="auto"/>
              <w:right w:val="single" w:sz="8" w:space="0" w:color="auto"/>
            </w:tcBorders>
            <w:shd w:val="clear" w:color="auto" w:fill="auto"/>
            <w:vAlign w:val="center"/>
            <w:hideMark/>
          </w:tcPr>
          <w:p w14:paraId="10E89B91"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GSM + WCDMA</w:t>
            </w:r>
            <w:r w:rsidRPr="00855B8A">
              <w:rPr>
                <w:rFonts w:ascii="Arial" w:eastAsia="Times New Roman" w:hAnsi="Arial" w:cs="Arial"/>
                <w:color w:val="000000"/>
                <w:sz w:val="16"/>
                <w:szCs w:val="16"/>
                <w:lang w:val="sv-SE" w:eastAsia="sv-SE"/>
              </w:rPr>
              <w:br/>
              <w:t>GSM + LTE+ IoT (optional)</w:t>
            </w:r>
            <w:r w:rsidRPr="00855B8A">
              <w:rPr>
                <w:rFonts w:ascii="Arial" w:eastAsia="Times New Roman" w:hAnsi="Arial" w:cs="Arial"/>
                <w:color w:val="000000"/>
                <w:sz w:val="16"/>
                <w:szCs w:val="16"/>
                <w:lang w:val="sv-SE" w:eastAsia="sv-SE"/>
              </w:rPr>
              <w:br/>
              <w:t>LTE+ WCDMA + IoT (optional)</w:t>
            </w:r>
          </w:p>
        </w:tc>
        <w:tc>
          <w:tcPr>
            <w:tcW w:w="0" w:type="auto"/>
            <w:tcBorders>
              <w:top w:val="nil"/>
              <w:left w:val="nil"/>
              <w:bottom w:val="single" w:sz="8" w:space="0" w:color="auto"/>
              <w:right w:val="single" w:sz="8" w:space="0" w:color="auto"/>
            </w:tcBorders>
            <w:shd w:val="clear" w:color="auto" w:fill="auto"/>
            <w:vAlign w:val="center"/>
            <w:hideMark/>
          </w:tcPr>
          <w:p w14:paraId="46A4C1DF"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 xml:space="preserve">SR   </w:t>
            </w:r>
          </w:p>
        </w:tc>
        <w:tc>
          <w:tcPr>
            <w:tcW w:w="0" w:type="auto"/>
            <w:tcBorders>
              <w:top w:val="nil"/>
              <w:left w:val="nil"/>
              <w:bottom w:val="single" w:sz="8" w:space="0" w:color="auto"/>
              <w:right w:val="single" w:sz="8" w:space="0" w:color="auto"/>
            </w:tcBorders>
            <w:shd w:val="clear" w:color="auto" w:fill="auto"/>
            <w:vAlign w:val="center"/>
            <w:hideMark/>
          </w:tcPr>
          <w:p w14:paraId="39AE6AB1"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GSM + IoT</w:t>
            </w:r>
          </w:p>
        </w:tc>
        <w:tc>
          <w:tcPr>
            <w:tcW w:w="0" w:type="auto"/>
            <w:tcBorders>
              <w:top w:val="nil"/>
              <w:left w:val="nil"/>
              <w:bottom w:val="single" w:sz="8" w:space="0" w:color="auto"/>
              <w:right w:val="single" w:sz="8" w:space="0" w:color="auto"/>
            </w:tcBorders>
            <w:shd w:val="clear" w:color="auto" w:fill="auto"/>
            <w:vAlign w:val="center"/>
            <w:hideMark/>
          </w:tcPr>
          <w:p w14:paraId="733FEA9B"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WCDMA + IoT</w:t>
            </w:r>
          </w:p>
        </w:tc>
        <w:tc>
          <w:tcPr>
            <w:tcW w:w="0" w:type="auto"/>
            <w:tcBorders>
              <w:top w:val="nil"/>
              <w:left w:val="nil"/>
              <w:bottom w:val="single" w:sz="8" w:space="0" w:color="auto"/>
              <w:right w:val="single" w:sz="8" w:space="0" w:color="auto"/>
            </w:tcBorders>
            <w:shd w:val="clear" w:color="auto" w:fill="auto"/>
            <w:vAlign w:val="center"/>
            <w:hideMark/>
          </w:tcPr>
          <w:p w14:paraId="76182222"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LTE + IoT</w:t>
            </w:r>
          </w:p>
        </w:tc>
        <w:tc>
          <w:tcPr>
            <w:tcW w:w="0" w:type="auto"/>
            <w:tcBorders>
              <w:top w:val="nil"/>
              <w:left w:val="nil"/>
              <w:bottom w:val="single" w:sz="8" w:space="0" w:color="auto"/>
              <w:right w:val="single" w:sz="8" w:space="0" w:color="auto"/>
            </w:tcBorders>
            <w:shd w:val="clear" w:color="auto" w:fill="auto"/>
            <w:vAlign w:val="center"/>
            <w:hideMark/>
          </w:tcPr>
          <w:p w14:paraId="16E26CDD"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GSM + WCDMA + IoT</w:t>
            </w:r>
            <w:r w:rsidRPr="00855B8A">
              <w:rPr>
                <w:rFonts w:ascii="Arial" w:eastAsia="Times New Roman" w:hAnsi="Arial" w:cs="Arial"/>
                <w:color w:val="000000"/>
                <w:sz w:val="16"/>
                <w:szCs w:val="16"/>
                <w:lang w:val="sv-SE" w:eastAsia="sv-SE"/>
              </w:rPr>
              <w:br/>
              <w:t>GSM + IoT</w:t>
            </w:r>
            <w:r w:rsidRPr="00855B8A">
              <w:rPr>
                <w:rFonts w:ascii="Arial" w:eastAsia="Times New Roman" w:hAnsi="Arial" w:cs="Arial"/>
                <w:color w:val="000000"/>
                <w:sz w:val="16"/>
                <w:szCs w:val="16"/>
                <w:lang w:val="sv-SE" w:eastAsia="sv-SE"/>
              </w:rPr>
              <w:br/>
              <w:t>WCDMA + IoT</w:t>
            </w:r>
          </w:p>
        </w:tc>
        <w:tc>
          <w:tcPr>
            <w:tcW w:w="0" w:type="auto"/>
            <w:tcBorders>
              <w:top w:val="nil"/>
              <w:left w:val="nil"/>
              <w:bottom w:val="single" w:sz="8" w:space="0" w:color="auto"/>
              <w:right w:val="single" w:sz="8" w:space="0" w:color="auto"/>
            </w:tcBorders>
            <w:shd w:val="clear" w:color="auto" w:fill="auto"/>
            <w:vAlign w:val="center"/>
            <w:hideMark/>
          </w:tcPr>
          <w:p w14:paraId="07770D2A"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GSM + LTE + IoT</w:t>
            </w:r>
            <w:r w:rsidRPr="00855B8A">
              <w:rPr>
                <w:rFonts w:ascii="Arial" w:eastAsia="Times New Roman" w:hAnsi="Arial" w:cs="Arial"/>
                <w:color w:val="000000"/>
                <w:sz w:val="16"/>
                <w:szCs w:val="16"/>
                <w:lang w:val="sv-SE" w:eastAsia="sv-SE"/>
              </w:rPr>
              <w:br/>
              <w:t>GSM + IoT</w:t>
            </w:r>
            <w:r w:rsidRPr="00855B8A">
              <w:rPr>
                <w:rFonts w:ascii="Arial" w:eastAsia="Times New Roman" w:hAnsi="Arial" w:cs="Arial"/>
                <w:color w:val="000000"/>
                <w:sz w:val="16"/>
                <w:szCs w:val="16"/>
                <w:lang w:val="sv-SE" w:eastAsia="sv-SE"/>
              </w:rPr>
              <w:br/>
              <w:t>LTE + IoT</w:t>
            </w:r>
          </w:p>
        </w:tc>
        <w:tc>
          <w:tcPr>
            <w:tcW w:w="0" w:type="auto"/>
            <w:tcBorders>
              <w:top w:val="nil"/>
              <w:left w:val="nil"/>
              <w:bottom w:val="single" w:sz="8" w:space="0" w:color="auto"/>
              <w:right w:val="single" w:sz="8" w:space="0" w:color="auto"/>
            </w:tcBorders>
            <w:shd w:val="clear" w:color="auto" w:fill="auto"/>
            <w:vAlign w:val="center"/>
            <w:hideMark/>
          </w:tcPr>
          <w:p w14:paraId="7D40C48B"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WCDMA + LTE + IoT</w:t>
            </w:r>
            <w:r w:rsidRPr="00855B8A">
              <w:rPr>
                <w:rFonts w:ascii="Arial" w:eastAsia="Times New Roman" w:hAnsi="Arial" w:cs="Arial"/>
                <w:color w:val="000000"/>
                <w:sz w:val="16"/>
                <w:szCs w:val="16"/>
                <w:lang w:val="sv-SE" w:eastAsia="sv-SE"/>
              </w:rPr>
              <w:br/>
              <w:t>WCDMA+ IoT</w:t>
            </w:r>
            <w:r w:rsidRPr="00855B8A">
              <w:rPr>
                <w:rFonts w:ascii="Arial" w:eastAsia="Times New Roman" w:hAnsi="Arial" w:cs="Arial"/>
                <w:color w:val="000000"/>
                <w:sz w:val="16"/>
                <w:szCs w:val="16"/>
                <w:lang w:val="sv-SE" w:eastAsia="sv-SE"/>
              </w:rPr>
              <w:br/>
              <w:t>LTE + IoT</w:t>
            </w:r>
            <w:r w:rsidRPr="00855B8A">
              <w:rPr>
                <w:rFonts w:ascii="Arial" w:eastAsia="Times New Roman" w:hAnsi="Arial" w:cs="Arial"/>
                <w:color w:val="000000"/>
                <w:sz w:val="16"/>
                <w:szCs w:val="16"/>
                <w:lang w:val="sv-SE" w:eastAsia="sv-SE"/>
              </w:rPr>
              <w:br/>
              <w:t>WCDMA + LTE</w:t>
            </w:r>
          </w:p>
        </w:tc>
        <w:tc>
          <w:tcPr>
            <w:tcW w:w="0" w:type="auto"/>
            <w:tcBorders>
              <w:top w:val="nil"/>
              <w:left w:val="nil"/>
              <w:bottom w:val="single" w:sz="8" w:space="0" w:color="auto"/>
              <w:right w:val="single" w:sz="8" w:space="0" w:color="auto"/>
            </w:tcBorders>
            <w:shd w:val="clear" w:color="auto" w:fill="auto"/>
            <w:vAlign w:val="center"/>
            <w:hideMark/>
          </w:tcPr>
          <w:p w14:paraId="38C102DB"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GSM + WCDMA +IoT</w:t>
            </w:r>
            <w:r w:rsidRPr="00855B8A">
              <w:rPr>
                <w:rFonts w:ascii="Arial" w:eastAsia="Times New Roman" w:hAnsi="Arial" w:cs="Arial"/>
                <w:color w:val="000000"/>
                <w:sz w:val="16"/>
                <w:szCs w:val="16"/>
                <w:lang w:val="sv-SE" w:eastAsia="sv-SE"/>
              </w:rPr>
              <w:br/>
              <w:t>GSM + LTE + IoT</w:t>
            </w:r>
            <w:r w:rsidRPr="00855B8A">
              <w:rPr>
                <w:rFonts w:ascii="Arial" w:eastAsia="Times New Roman" w:hAnsi="Arial" w:cs="Arial"/>
                <w:color w:val="000000"/>
                <w:sz w:val="16"/>
                <w:szCs w:val="16"/>
                <w:lang w:val="sv-SE" w:eastAsia="sv-SE"/>
              </w:rPr>
              <w:br/>
              <w:t xml:space="preserve"> WCDMA + LTE + IoT</w:t>
            </w:r>
            <w:r w:rsidRPr="00855B8A">
              <w:rPr>
                <w:rFonts w:ascii="Arial" w:eastAsia="Times New Roman" w:hAnsi="Arial" w:cs="Arial"/>
                <w:color w:val="000000"/>
                <w:sz w:val="16"/>
                <w:szCs w:val="16"/>
                <w:lang w:val="sv-SE" w:eastAsia="sv-SE"/>
              </w:rPr>
              <w:br/>
              <w:t>GSM + IoT</w:t>
            </w:r>
            <w:r w:rsidRPr="00855B8A">
              <w:rPr>
                <w:rFonts w:ascii="Arial" w:eastAsia="Times New Roman" w:hAnsi="Arial" w:cs="Arial"/>
                <w:color w:val="000000"/>
                <w:sz w:val="16"/>
                <w:szCs w:val="16"/>
                <w:lang w:val="sv-SE" w:eastAsia="sv-SE"/>
              </w:rPr>
              <w:br/>
              <w:t>WCDMA + IoT</w:t>
            </w:r>
            <w:r w:rsidRPr="00855B8A">
              <w:rPr>
                <w:rFonts w:ascii="Arial" w:eastAsia="Times New Roman" w:hAnsi="Arial" w:cs="Arial"/>
                <w:color w:val="000000"/>
                <w:sz w:val="16"/>
                <w:szCs w:val="16"/>
                <w:lang w:val="sv-SE" w:eastAsia="sv-SE"/>
              </w:rPr>
              <w:br/>
              <w:t>LTE + IoT</w:t>
            </w:r>
            <w:r w:rsidRPr="00855B8A">
              <w:rPr>
                <w:rFonts w:ascii="Arial" w:eastAsia="Times New Roman" w:hAnsi="Arial" w:cs="Arial"/>
                <w:color w:val="000000"/>
                <w:sz w:val="16"/>
                <w:szCs w:val="16"/>
                <w:lang w:val="sv-SE" w:eastAsia="sv-SE"/>
              </w:rPr>
              <w:br/>
              <w:t>GSM + WCDMA</w:t>
            </w:r>
            <w:r w:rsidRPr="00855B8A">
              <w:rPr>
                <w:rFonts w:ascii="Arial" w:eastAsia="Times New Roman" w:hAnsi="Arial" w:cs="Arial"/>
                <w:color w:val="000000"/>
                <w:sz w:val="16"/>
                <w:szCs w:val="16"/>
                <w:lang w:val="sv-SE" w:eastAsia="sv-SE"/>
              </w:rPr>
              <w:br/>
              <w:t>GSM + LTE</w:t>
            </w:r>
            <w:r w:rsidRPr="00855B8A">
              <w:rPr>
                <w:rFonts w:ascii="Arial" w:eastAsia="Times New Roman" w:hAnsi="Arial" w:cs="Arial"/>
                <w:color w:val="000000"/>
                <w:sz w:val="16"/>
                <w:szCs w:val="16"/>
                <w:lang w:val="sv-SE" w:eastAsia="sv-SE"/>
              </w:rPr>
              <w:br/>
              <w:t>WCDMA + LTE</w:t>
            </w:r>
          </w:p>
        </w:tc>
        <w:tc>
          <w:tcPr>
            <w:tcW w:w="0" w:type="auto"/>
            <w:tcBorders>
              <w:top w:val="nil"/>
              <w:left w:val="nil"/>
              <w:bottom w:val="single" w:sz="8" w:space="0" w:color="auto"/>
              <w:right w:val="single" w:sz="8" w:space="0" w:color="auto"/>
            </w:tcBorders>
            <w:shd w:val="clear" w:color="auto" w:fill="auto"/>
            <w:vAlign w:val="center"/>
            <w:hideMark/>
          </w:tcPr>
          <w:p w14:paraId="5F9756DC"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 xml:space="preserve">LTE+ NR+ IoT </w:t>
            </w:r>
            <w:r w:rsidRPr="00855B8A">
              <w:rPr>
                <w:rFonts w:ascii="Arial" w:eastAsia="Times New Roman" w:hAnsi="Arial" w:cs="Arial"/>
                <w:color w:val="000000"/>
                <w:sz w:val="16"/>
                <w:szCs w:val="16"/>
                <w:lang w:val="sv-SE" w:eastAsia="sv-SE"/>
              </w:rPr>
              <w:br/>
              <w:t>LTE + IoT</w:t>
            </w:r>
            <w:r w:rsidRPr="00855B8A">
              <w:rPr>
                <w:rFonts w:ascii="Arial" w:eastAsia="Times New Roman" w:hAnsi="Arial" w:cs="Arial"/>
                <w:color w:val="000000"/>
                <w:sz w:val="16"/>
                <w:szCs w:val="16"/>
                <w:lang w:val="sv-SE" w:eastAsia="sv-SE"/>
              </w:rPr>
              <w:br/>
              <w:t>NR + IoT</w:t>
            </w:r>
            <w:r w:rsidRPr="00855B8A">
              <w:rPr>
                <w:rFonts w:ascii="Arial" w:eastAsia="Times New Roman" w:hAnsi="Arial" w:cs="Arial"/>
                <w:color w:val="000000"/>
                <w:sz w:val="16"/>
                <w:szCs w:val="16"/>
                <w:lang w:val="sv-SE" w:eastAsia="sv-SE"/>
              </w:rPr>
              <w:br/>
              <w:t xml:space="preserve">LTE+ NR+ IoT+IoT </w:t>
            </w:r>
          </w:p>
        </w:tc>
        <w:tc>
          <w:tcPr>
            <w:tcW w:w="0" w:type="auto"/>
            <w:tcBorders>
              <w:top w:val="nil"/>
              <w:left w:val="nil"/>
              <w:bottom w:val="single" w:sz="8" w:space="0" w:color="auto"/>
              <w:right w:val="single" w:sz="8" w:space="0" w:color="auto"/>
            </w:tcBorders>
            <w:shd w:val="clear" w:color="auto" w:fill="auto"/>
            <w:vAlign w:val="center"/>
            <w:hideMark/>
          </w:tcPr>
          <w:p w14:paraId="4BEC24D1"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LTE+ NR+ IoT (optional)</w:t>
            </w:r>
          </w:p>
        </w:tc>
        <w:tc>
          <w:tcPr>
            <w:tcW w:w="0" w:type="auto"/>
            <w:tcBorders>
              <w:top w:val="nil"/>
              <w:left w:val="nil"/>
              <w:bottom w:val="single" w:sz="8" w:space="0" w:color="auto"/>
              <w:right w:val="single" w:sz="8" w:space="0" w:color="auto"/>
            </w:tcBorders>
            <w:shd w:val="clear" w:color="auto" w:fill="auto"/>
            <w:vAlign w:val="center"/>
            <w:hideMark/>
          </w:tcPr>
          <w:p w14:paraId="3D4D392C"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GSM + LTE+ IoT (optional)</w:t>
            </w:r>
            <w:r w:rsidRPr="00855B8A">
              <w:rPr>
                <w:rFonts w:ascii="Arial" w:eastAsia="Times New Roman" w:hAnsi="Arial" w:cs="Arial"/>
                <w:color w:val="000000"/>
                <w:sz w:val="16"/>
                <w:szCs w:val="16"/>
                <w:lang w:val="sv-SE" w:eastAsia="sv-SE"/>
              </w:rPr>
              <w:br/>
              <w:t>GSM + NR+ IoT (optional)</w:t>
            </w:r>
            <w:r w:rsidRPr="00855B8A">
              <w:rPr>
                <w:rFonts w:ascii="Arial" w:eastAsia="Times New Roman" w:hAnsi="Arial" w:cs="Arial"/>
                <w:color w:val="000000"/>
                <w:sz w:val="16"/>
                <w:szCs w:val="16"/>
                <w:lang w:val="sv-SE" w:eastAsia="sv-SE"/>
              </w:rPr>
              <w:br/>
              <w:t>LTE + NR +  IoT (optional)</w:t>
            </w:r>
            <w:r w:rsidRPr="00855B8A">
              <w:rPr>
                <w:rFonts w:ascii="Arial" w:eastAsia="Times New Roman" w:hAnsi="Arial" w:cs="Arial"/>
                <w:color w:val="000000"/>
                <w:sz w:val="16"/>
                <w:szCs w:val="16"/>
                <w:lang w:val="sv-SE" w:eastAsia="sv-SE"/>
              </w:rPr>
              <w:br/>
              <w:t>GSM + LTE+ NR+ IoT (optional)</w:t>
            </w:r>
          </w:p>
        </w:tc>
        <w:tc>
          <w:tcPr>
            <w:tcW w:w="0" w:type="auto"/>
            <w:tcBorders>
              <w:top w:val="nil"/>
              <w:left w:val="nil"/>
              <w:bottom w:val="single" w:sz="8" w:space="0" w:color="auto"/>
              <w:right w:val="single" w:sz="8" w:space="0" w:color="auto"/>
            </w:tcBorders>
            <w:shd w:val="clear" w:color="auto" w:fill="auto"/>
            <w:vAlign w:val="center"/>
            <w:hideMark/>
          </w:tcPr>
          <w:p w14:paraId="56971F41" w14:textId="77777777" w:rsidR="00855B8A" w:rsidRPr="00855B8A" w:rsidRDefault="00855B8A" w:rsidP="00855B8A">
            <w:pPr>
              <w:spacing w:after="0"/>
              <w:jc w:val="center"/>
              <w:rPr>
                <w:rFonts w:ascii="Arial" w:eastAsia="Times New Roman" w:hAnsi="Arial" w:cs="Arial"/>
                <w:color w:val="000000"/>
                <w:sz w:val="16"/>
                <w:szCs w:val="16"/>
                <w:lang w:val="sv-SE" w:eastAsia="sv-SE"/>
              </w:rPr>
            </w:pPr>
            <w:r w:rsidRPr="00855B8A">
              <w:rPr>
                <w:rFonts w:ascii="Arial" w:eastAsia="Times New Roman" w:hAnsi="Arial" w:cs="Arial"/>
                <w:color w:val="000000"/>
                <w:sz w:val="16"/>
                <w:szCs w:val="16"/>
                <w:lang w:val="sv-SE" w:eastAsia="sv-SE"/>
              </w:rPr>
              <w:t>WCDMA + LTE+ IoT (optional)</w:t>
            </w:r>
            <w:r w:rsidRPr="00855B8A">
              <w:rPr>
                <w:rFonts w:ascii="Arial" w:eastAsia="Times New Roman" w:hAnsi="Arial" w:cs="Arial"/>
                <w:color w:val="000000"/>
                <w:sz w:val="16"/>
                <w:szCs w:val="16"/>
                <w:lang w:val="sv-SE" w:eastAsia="sv-SE"/>
              </w:rPr>
              <w:br/>
              <w:t>WCDMA + NR+ IoT (optional)</w:t>
            </w:r>
            <w:r w:rsidRPr="00855B8A">
              <w:rPr>
                <w:rFonts w:ascii="Arial" w:eastAsia="Times New Roman" w:hAnsi="Arial" w:cs="Arial"/>
                <w:color w:val="000000"/>
                <w:sz w:val="16"/>
                <w:szCs w:val="16"/>
                <w:lang w:val="sv-SE" w:eastAsia="sv-SE"/>
              </w:rPr>
              <w:br/>
              <w:t>LTE + NR +  IoT (optional)</w:t>
            </w:r>
            <w:r w:rsidRPr="00855B8A">
              <w:rPr>
                <w:rFonts w:ascii="Arial" w:eastAsia="Times New Roman" w:hAnsi="Arial" w:cs="Arial"/>
                <w:color w:val="000000"/>
                <w:sz w:val="16"/>
                <w:szCs w:val="16"/>
                <w:lang w:val="sv-SE" w:eastAsia="sv-SE"/>
              </w:rPr>
              <w:br/>
              <w:t>WCDMA + LTE+ NR+ IoT (optional)</w:t>
            </w:r>
          </w:p>
        </w:tc>
      </w:tr>
      <w:tr w:rsidR="00CB5EC5" w:rsidRPr="00645B9A" w14:paraId="4A54D14F" w14:textId="77777777" w:rsidTr="00CB5EC5">
        <w:trPr>
          <w:trHeight w:val="893"/>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D10895"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Suggested RAT combinations</w:t>
            </w:r>
          </w:p>
        </w:tc>
        <w:tc>
          <w:tcPr>
            <w:tcW w:w="0" w:type="auto"/>
            <w:tcBorders>
              <w:top w:val="nil"/>
              <w:left w:val="nil"/>
              <w:bottom w:val="single" w:sz="8" w:space="0" w:color="auto"/>
              <w:right w:val="single" w:sz="8" w:space="0" w:color="auto"/>
            </w:tcBorders>
            <w:shd w:val="clear" w:color="auto" w:fill="auto"/>
            <w:vAlign w:val="center"/>
            <w:hideMark/>
          </w:tcPr>
          <w:p w14:paraId="3443313E"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WCDMA</w:t>
            </w:r>
          </w:p>
        </w:tc>
        <w:tc>
          <w:tcPr>
            <w:tcW w:w="0" w:type="auto"/>
            <w:tcBorders>
              <w:top w:val="nil"/>
              <w:left w:val="nil"/>
              <w:bottom w:val="single" w:sz="8" w:space="0" w:color="auto"/>
              <w:right w:val="single" w:sz="8" w:space="0" w:color="auto"/>
            </w:tcBorders>
            <w:shd w:val="clear" w:color="auto" w:fill="auto"/>
            <w:vAlign w:val="center"/>
            <w:hideMark/>
          </w:tcPr>
          <w:p w14:paraId="10C4EDC5"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w:t>
            </w:r>
          </w:p>
        </w:tc>
        <w:tc>
          <w:tcPr>
            <w:tcW w:w="0" w:type="auto"/>
            <w:tcBorders>
              <w:top w:val="nil"/>
              <w:left w:val="nil"/>
              <w:bottom w:val="single" w:sz="8" w:space="0" w:color="auto"/>
              <w:right w:val="single" w:sz="8" w:space="0" w:color="auto"/>
            </w:tcBorders>
            <w:shd w:val="clear" w:color="auto" w:fill="auto"/>
            <w:vAlign w:val="center"/>
            <w:hideMark/>
          </w:tcPr>
          <w:p w14:paraId="6DE254AA"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WCDMA + LTE</w:t>
            </w:r>
          </w:p>
        </w:tc>
        <w:tc>
          <w:tcPr>
            <w:tcW w:w="0" w:type="auto"/>
            <w:tcBorders>
              <w:top w:val="nil"/>
              <w:left w:val="nil"/>
              <w:bottom w:val="single" w:sz="8" w:space="0" w:color="auto"/>
              <w:right w:val="single" w:sz="8" w:space="0" w:color="auto"/>
            </w:tcBorders>
            <w:shd w:val="clear" w:color="auto" w:fill="auto"/>
            <w:vAlign w:val="center"/>
            <w:hideMark/>
          </w:tcPr>
          <w:p w14:paraId="1ED6DD25"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GSM + WCDMA</w:t>
            </w:r>
          </w:p>
        </w:tc>
        <w:tc>
          <w:tcPr>
            <w:tcW w:w="0" w:type="auto"/>
            <w:tcBorders>
              <w:top w:val="nil"/>
              <w:left w:val="nil"/>
              <w:bottom w:val="single" w:sz="8" w:space="0" w:color="auto"/>
              <w:right w:val="single" w:sz="8" w:space="0" w:color="auto"/>
            </w:tcBorders>
            <w:shd w:val="clear" w:color="auto" w:fill="auto"/>
            <w:vAlign w:val="center"/>
            <w:hideMark/>
          </w:tcPr>
          <w:p w14:paraId="33EE90C2"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 IoT-IN/IG</w:t>
            </w:r>
          </w:p>
        </w:tc>
        <w:tc>
          <w:tcPr>
            <w:tcW w:w="0" w:type="auto"/>
            <w:tcBorders>
              <w:top w:val="nil"/>
              <w:left w:val="nil"/>
              <w:bottom w:val="single" w:sz="8" w:space="0" w:color="auto"/>
              <w:right w:val="single" w:sz="8" w:space="0" w:color="auto"/>
            </w:tcBorders>
            <w:shd w:val="clear" w:color="auto" w:fill="auto"/>
            <w:vAlign w:val="center"/>
            <w:hideMark/>
          </w:tcPr>
          <w:p w14:paraId="623444C8"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GSM + LTE</w:t>
            </w:r>
          </w:p>
        </w:tc>
        <w:tc>
          <w:tcPr>
            <w:tcW w:w="0" w:type="auto"/>
            <w:tcBorders>
              <w:top w:val="nil"/>
              <w:left w:val="nil"/>
              <w:bottom w:val="single" w:sz="8" w:space="0" w:color="auto"/>
              <w:right w:val="single" w:sz="8" w:space="0" w:color="auto"/>
            </w:tcBorders>
            <w:shd w:val="clear" w:color="auto" w:fill="auto"/>
            <w:vAlign w:val="center"/>
            <w:hideMark/>
          </w:tcPr>
          <w:p w14:paraId="0A3F927D"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 IoT-IN/IG</w:t>
            </w:r>
          </w:p>
        </w:tc>
        <w:tc>
          <w:tcPr>
            <w:tcW w:w="0" w:type="auto"/>
            <w:tcBorders>
              <w:top w:val="nil"/>
              <w:left w:val="nil"/>
              <w:bottom w:val="single" w:sz="8" w:space="0" w:color="auto"/>
              <w:right w:val="single" w:sz="8" w:space="0" w:color="auto"/>
            </w:tcBorders>
            <w:shd w:val="clear" w:color="auto" w:fill="auto"/>
            <w:vAlign w:val="center"/>
            <w:hideMark/>
          </w:tcPr>
          <w:p w14:paraId="43E3731E"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IoT-SA</w:t>
            </w:r>
          </w:p>
        </w:tc>
        <w:tc>
          <w:tcPr>
            <w:tcW w:w="0" w:type="auto"/>
            <w:tcBorders>
              <w:top w:val="nil"/>
              <w:left w:val="nil"/>
              <w:bottom w:val="single" w:sz="8" w:space="0" w:color="auto"/>
              <w:right w:val="single" w:sz="8" w:space="0" w:color="auto"/>
            </w:tcBorders>
            <w:shd w:val="clear" w:color="auto" w:fill="auto"/>
            <w:vAlign w:val="center"/>
            <w:hideMark/>
          </w:tcPr>
          <w:p w14:paraId="07C41819"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GSM + IoT-SA</w:t>
            </w:r>
          </w:p>
        </w:tc>
        <w:tc>
          <w:tcPr>
            <w:tcW w:w="0" w:type="auto"/>
            <w:tcBorders>
              <w:top w:val="nil"/>
              <w:left w:val="nil"/>
              <w:bottom w:val="single" w:sz="8" w:space="0" w:color="auto"/>
              <w:right w:val="single" w:sz="8" w:space="0" w:color="auto"/>
            </w:tcBorders>
            <w:shd w:val="clear" w:color="auto" w:fill="auto"/>
            <w:vAlign w:val="center"/>
            <w:hideMark/>
          </w:tcPr>
          <w:p w14:paraId="08DD3487"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WCDMA + IoT-SA</w:t>
            </w:r>
          </w:p>
        </w:tc>
        <w:tc>
          <w:tcPr>
            <w:tcW w:w="0" w:type="auto"/>
            <w:tcBorders>
              <w:top w:val="nil"/>
              <w:left w:val="nil"/>
              <w:bottom w:val="single" w:sz="8" w:space="0" w:color="auto"/>
              <w:right w:val="single" w:sz="8" w:space="0" w:color="auto"/>
            </w:tcBorders>
            <w:shd w:val="clear" w:color="auto" w:fill="auto"/>
            <w:vAlign w:val="center"/>
            <w:hideMark/>
          </w:tcPr>
          <w:p w14:paraId="2934D06C"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 IoT-SA</w:t>
            </w:r>
          </w:p>
        </w:tc>
        <w:tc>
          <w:tcPr>
            <w:tcW w:w="0" w:type="auto"/>
            <w:tcBorders>
              <w:top w:val="nil"/>
              <w:left w:val="nil"/>
              <w:bottom w:val="single" w:sz="8" w:space="0" w:color="auto"/>
              <w:right w:val="single" w:sz="8" w:space="0" w:color="auto"/>
            </w:tcBorders>
            <w:shd w:val="clear" w:color="auto" w:fill="auto"/>
            <w:vAlign w:val="center"/>
            <w:hideMark/>
          </w:tcPr>
          <w:p w14:paraId="6A2C8D9B"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WCDMA + IoT-SA</w:t>
            </w:r>
          </w:p>
        </w:tc>
        <w:tc>
          <w:tcPr>
            <w:tcW w:w="0" w:type="auto"/>
            <w:tcBorders>
              <w:top w:val="nil"/>
              <w:left w:val="nil"/>
              <w:bottom w:val="single" w:sz="8" w:space="0" w:color="auto"/>
              <w:right w:val="single" w:sz="8" w:space="0" w:color="auto"/>
            </w:tcBorders>
            <w:shd w:val="clear" w:color="auto" w:fill="auto"/>
            <w:vAlign w:val="center"/>
            <w:hideMark/>
          </w:tcPr>
          <w:p w14:paraId="4A41735C"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 IoT-SA</w:t>
            </w:r>
          </w:p>
        </w:tc>
        <w:tc>
          <w:tcPr>
            <w:tcW w:w="0" w:type="auto"/>
            <w:tcBorders>
              <w:top w:val="nil"/>
              <w:left w:val="nil"/>
              <w:bottom w:val="single" w:sz="8" w:space="0" w:color="auto"/>
              <w:right w:val="single" w:sz="8" w:space="0" w:color="auto"/>
            </w:tcBorders>
            <w:shd w:val="clear" w:color="auto" w:fill="auto"/>
            <w:vAlign w:val="center"/>
            <w:hideMark/>
          </w:tcPr>
          <w:p w14:paraId="4BF37A85"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 IoT-SA</w:t>
            </w:r>
          </w:p>
        </w:tc>
        <w:tc>
          <w:tcPr>
            <w:tcW w:w="0" w:type="auto"/>
            <w:tcBorders>
              <w:top w:val="nil"/>
              <w:left w:val="nil"/>
              <w:bottom w:val="single" w:sz="8" w:space="0" w:color="auto"/>
              <w:right w:val="single" w:sz="8" w:space="0" w:color="auto"/>
            </w:tcBorders>
            <w:shd w:val="clear" w:color="auto" w:fill="auto"/>
            <w:vAlign w:val="center"/>
            <w:hideMark/>
          </w:tcPr>
          <w:p w14:paraId="56B021F2"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 IoT-SA</w:t>
            </w:r>
          </w:p>
        </w:tc>
        <w:tc>
          <w:tcPr>
            <w:tcW w:w="0" w:type="auto"/>
            <w:tcBorders>
              <w:top w:val="nil"/>
              <w:left w:val="nil"/>
              <w:bottom w:val="single" w:sz="8" w:space="0" w:color="auto"/>
              <w:right w:val="single" w:sz="8" w:space="0" w:color="auto"/>
            </w:tcBorders>
            <w:shd w:val="clear" w:color="auto" w:fill="auto"/>
            <w:vAlign w:val="center"/>
            <w:hideMark/>
          </w:tcPr>
          <w:p w14:paraId="3E1334C1"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NR+ IoT-SA</w:t>
            </w:r>
            <w:r w:rsidRPr="00855B8A">
              <w:rPr>
                <w:rFonts w:ascii="Arial" w:eastAsia="Times New Roman" w:hAnsi="Arial" w:cs="Arial"/>
                <w:b/>
                <w:bCs/>
                <w:color w:val="000000"/>
                <w:sz w:val="16"/>
                <w:szCs w:val="16"/>
                <w:lang w:val="sv-SE" w:eastAsia="sv-SE"/>
              </w:rPr>
              <w:br/>
              <w:t xml:space="preserve">If support IoT standalone </w:t>
            </w:r>
          </w:p>
        </w:tc>
        <w:tc>
          <w:tcPr>
            <w:tcW w:w="0" w:type="auto"/>
            <w:tcBorders>
              <w:top w:val="nil"/>
              <w:left w:val="nil"/>
              <w:bottom w:val="single" w:sz="8" w:space="0" w:color="auto"/>
              <w:right w:val="single" w:sz="8" w:space="0" w:color="auto"/>
            </w:tcBorders>
            <w:shd w:val="clear" w:color="auto" w:fill="auto"/>
            <w:vAlign w:val="center"/>
            <w:hideMark/>
          </w:tcPr>
          <w:p w14:paraId="01DBA2EA"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LTE+ NR+ IoT-IG/IN</w:t>
            </w:r>
            <w:r w:rsidRPr="00855B8A">
              <w:rPr>
                <w:rFonts w:ascii="Arial" w:eastAsia="Times New Roman" w:hAnsi="Arial" w:cs="Arial"/>
                <w:b/>
                <w:bCs/>
                <w:color w:val="000000"/>
                <w:sz w:val="16"/>
                <w:szCs w:val="16"/>
                <w:lang w:val="en-US" w:eastAsia="sv-SE"/>
              </w:rPr>
              <w:br/>
              <w:t>If support guard/inband IOT</w:t>
            </w:r>
          </w:p>
        </w:tc>
        <w:tc>
          <w:tcPr>
            <w:tcW w:w="0" w:type="auto"/>
            <w:tcBorders>
              <w:top w:val="nil"/>
              <w:left w:val="nil"/>
              <w:bottom w:val="single" w:sz="8" w:space="0" w:color="auto"/>
              <w:right w:val="single" w:sz="8" w:space="0" w:color="auto"/>
            </w:tcBorders>
            <w:shd w:val="clear" w:color="auto" w:fill="auto"/>
            <w:vAlign w:val="center"/>
            <w:hideMark/>
          </w:tcPr>
          <w:p w14:paraId="62059378"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NR+ IoT-IG/IN</w:t>
            </w:r>
          </w:p>
        </w:tc>
        <w:tc>
          <w:tcPr>
            <w:tcW w:w="0" w:type="auto"/>
            <w:tcBorders>
              <w:top w:val="nil"/>
              <w:left w:val="nil"/>
              <w:bottom w:val="single" w:sz="8" w:space="0" w:color="auto"/>
              <w:right w:val="single" w:sz="8" w:space="0" w:color="auto"/>
            </w:tcBorders>
            <w:shd w:val="clear" w:color="auto" w:fill="auto"/>
            <w:vAlign w:val="center"/>
            <w:hideMark/>
          </w:tcPr>
          <w:p w14:paraId="0AF73FBC"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NR+ IoT-IG/IN</w:t>
            </w:r>
          </w:p>
        </w:tc>
      </w:tr>
      <w:tr w:rsidR="00CB5EC5" w:rsidRPr="00855B8A" w14:paraId="21F06FB5" w14:textId="77777777" w:rsidTr="00CB5EC5">
        <w:trPr>
          <w:trHeight w:val="161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EE9E83" w14:textId="77777777" w:rsidR="00855B8A" w:rsidRPr="00855B8A" w:rsidRDefault="00855B8A" w:rsidP="00855B8A">
            <w:pPr>
              <w:spacing w:after="0"/>
              <w:jc w:val="center"/>
              <w:rPr>
                <w:rFonts w:ascii="Arial" w:eastAsia="Times New Roman" w:hAnsi="Arial" w:cs="Arial"/>
                <w:b/>
                <w:bCs/>
                <w:color w:val="000000"/>
                <w:sz w:val="18"/>
                <w:szCs w:val="18"/>
                <w:lang w:val="en-US" w:eastAsia="sv-SE"/>
              </w:rPr>
            </w:pPr>
            <w:r w:rsidRPr="00855B8A">
              <w:rPr>
                <w:rFonts w:ascii="Arial" w:eastAsia="Times New Roman" w:hAnsi="Arial" w:cs="Arial"/>
                <w:b/>
                <w:bCs/>
                <w:color w:val="000000"/>
                <w:sz w:val="18"/>
                <w:szCs w:val="18"/>
                <w:lang w:val="en-US" w:eastAsia="sv-SE"/>
              </w:rPr>
              <w:t>Optimization suggestions for CS/TC</w:t>
            </w:r>
          </w:p>
        </w:tc>
        <w:tc>
          <w:tcPr>
            <w:tcW w:w="0" w:type="auto"/>
            <w:tcBorders>
              <w:top w:val="nil"/>
              <w:left w:val="nil"/>
              <w:bottom w:val="single" w:sz="8" w:space="0" w:color="auto"/>
              <w:right w:val="single" w:sz="8" w:space="0" w:color="auto"/>
            </w:tcBorders>
            <w:shd w:val="clear" w:color="auto" w:fill="auto"/>
            <w:vAlign w:val="center"/>
            <w:hideMark/>
          </w:tcPr>
          <w:p w14:paraId="0743E721"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SR covered by MR</w:t>
            </w:r>
            <w:r w:rsidRPr="00855B8A">
              <w:rPr>
                <w:rFonts w:ascii="Arial" w:eastAsia="Times New Roman" w:hAnsi="Arial" w:cs="Arial"/>
                <w:b/>
                <w:bCs/>
                <w:color w:val="000000"/>
                <w:sz w:val="16"/>
                <w:szCs w:val="16"/>
                <w:lang w:val="en-US" w:eastAsia="sv-SE"/>
              </w:rPr>
              <w:br/>
              <w:t>WCDMA covered by LTE</w:t>
            </w:r>
            <w:r w:rsidRPr="00855B8A">
              <w:rPr>
                <w:rFonts w:ascii="Arial" w:eastAsia="Times New Roman" w:hAnsi="Arial" w:cs="Arial"/>
                <w:b/>
                <w:bCs/>
                <w:color w:val="000000"/>
                <w:sz w:val="16"/>
                <w:szCs w:val="16"/>
                <w:lang w:val="en-US" w:eastAsia="sv-SE"/>
              </w:rPr>
              <w:br/>
              <w:t>LTE tested in TC21/22</w:t>
            </w:r>
          </w:p>
        </w:tc>
        <w:tc>
          <w:tcPr>
            <w:tcW w:w="0" w:type="auto"/>
            <w:tcBorders>
              <w:top w:val="nil"/>
              <w:left w:val="nil"/>
              <w:bottom w:val="single" w:sz="8" w:space="0" w:color="auto"/>
              <w:right w:val="single" w:sz="8" w:space="0" w:color="auto"/>
            </w:tcBorders>
            <w:shd w:val="clear" w:color="auto" w:fill="auto"/>
            <w:vAlign w:val="center"/>
            <w:hideMark/>
          </w:tcPr>
          <w:p w14:paraId="530680CE"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SR covered by MR</w:t>
            </w:r>
            <w:r w:rsidRPr="00855B8A">
              <w:rPr>
                <w:rFonts w:ascii="Arial" w:eastAsia="Times New Roman" w:hAnsi="Arial" w:cs="Arial"/>
                <w:b/>
                <w:bCs/>
                <w:color w:val="000000"/>
                <w:sz w:val="16"/>
                <w:szCs w:val="16"/>
                <w:lang w:val="en-US" w:eastAsia="sv-SE"/>
              </w:rPr>
              <w:br/>
              <w:t>LTE tested in TC21/22</w:t>
            </w:r>
          </w:p>
        </w:tc>
        <w:tc>
          <w:tcPr>
            <w:tcW w:w="0" w:type="auto"/>
            <w:tcBorders>
              <w:top w:val="nil"/>
              <w:left w:val="nil"/>
              <w:bottom w:val="single" w:sz="8" w:space="0" w:color="auto"/>
              <w:right w:val="single" w:sz="8" w:space="0" w:color="auto"/>
            </w:tcBorders>
            <w:shd w:val="clear" w:color="auto" w:fill="auto"/>
            <w:vAlign w:val="center"/>
            <w:hideMark/>
          </w:tcPr>
          <w:p w14:paraId="3B8831EF"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WCDMA covered by LTE</w:t>
            </w:r>
            <w:r w:rsidRPr="00855B8A">
              <w:rPr>
                <w:rFonts w:ascii="Arial" w:eastAsia="Times New Roman" w:hAnsi="Arial" w:cs="Arial"/>
                <w:b/>
                <w:bCs/>
                <w:color w:val="000000"/>
                <w:sz w:val="16"/>
                <w:szCs w:val="16"/>
                <w:lang w:val="en-US" w:eastAsia="sv-SE"/>
              </w:rPr>
              <w:br/>
              <w:t>LTE tested in TC21/22</w:t>
            </w:r>
          </w:p>
        </w:tc>
        <w:tc>
          <w:tcPr>
            <w:tcW w:w="0" w:type="auto"/>
            <w:tcBorders>
              <w:top w:val="nil"/>
              <w:left w:val="nil"/>
              <w:bottom w:val="single" w:sz="8" w:space="0" w:color="auto"/>
              <w:right w:val="single" w:sz="8" w:space="0" w:color="auto"/>
            </w:tcBorders>
            <w:shd w:val="clear" w:color="auto" w:fill="auto"/>
            <w:vAlign w:val="center"/>
            <w:hideMark/>
          </w:tcPr>
          <w:p w14:paraId="72F06228"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GSM covered by IoT</w:t>
            </w:r>
            <w:r w:rsidRPr="00855B8A">
              <w:rPr>
                <w:rFonts w:ascii="Arial" w:eastAsia="Times New Roman" w:hAnsi="Arial" w:cs="Arial"/>
                <w:b/>
                <w:bCs/>
                <w:color w:val="000000"/>
                <w:sz w:val="16"/>
                <w:szCs w:val="16"/>
                <w:lang w:val="en-US" w:eastAsia="sv-SE"/>
              </w:rPr>
              <w:br/>
              <w:t>WCDMA covered by LTE</w:t>
            </w:r>
            <w:r w:rsidRPr="00855B8A">
              <w:rPr>
                <w:rFonts w:ascii="Arial" w:eastAsia="Times New Roman" w:hAnsi="Arial" w:cs="Arial"/>
                <w:b/>
                <w:bCs/>
                <w:color w:val="000000"/>
                <w:sz w:val="16"/>
                <w:szCs w:val="16"/>
                <w:lang w:val="en-US" w:eastAsia="sv-SE"/>
              </w:rPr>
              <w:br/>
              <w:t xml:space="preserve">IoT and LTE test in TC21/22 </w:t>
            </w:r>
          </w:p>
        </w:tc>
        <w:tc>
          <w:tcPr>
            <w:tcW w:w="0" w:type="auto"/>
            <w:tcBorders>
              <w:top w:val="nil"/>
              <w:left w:val="nil"/>
              <w:bottom w:val="single" w:sz="8" w:space="0" w:color="auto"/>
              <w:right w:val="single" w:sz="8" w:space="0" w:color="auto"/>
            </w:tcBorders>
            <w:shd w:val="clear" w:color="auto" w:fill="auto"/>
            <w:vAlign w:val="center"/>
            <w:hideMark/>
          </w:tcPr>
          <w:p w14:paraId="0AF28B8D"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GSM covered by IoT</w:t>
            </w:r>
            <w:r w:rsidRPr="00855B8A">
              <w:rPr>
                <w:rFonts w:ascii="Arial" w:eastAsia="Times New Roman" w:hAnsi="Arial" w:cs="Arial"/>
                <w:b/>
                <w:bCs/>
                <w:color w:val="000000"/>
                <w:sz w:val="16"/>
                <w:szCs w:val="16"/>
                <w:lang w:val="en-US" w:eastAsia="sv-SE"/>
              </w:rPr>
              <w:br/>
              <w:t>IoT and LTE tested in TC21/22</w:t>
            </w:r>
          </w:p>
        </w:tc>
        <w:tc>
          <w:tcPr>
            <w:tcW w:w="0" w:type="auto"/>
            <w:tcBorders>
              <w:top w:val="nil"/>
              <w:left w:val="nil"/>
              <w:bottom w:val="single" w:sz="8" w:space="0" w:color="auto"/>
              <w:right w:val="single" w:sz="8" w:space="0" w:color="auto"/>
            </w:tcBorders>
            <w:shd w:val="clear" w:color="auto" w:fill="auto"/>
            <w:vAlign w:val="center"/>
            <w:hideMark/>
          </w:tcPr>
          <w:p w14:paraId="15E04CCF"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GSM covered by IoT</w:t>
            </w:r>
            <w:r w:rsidRPr="00855B8A">
              <w:rPr>
                <w:rFonts w:ascii="Arial" w:eastAsia="Times New Roman" w:hAnsi="Arial" w:cs="Arial"/>
                <w:b/>
                <w:bCs/>
                <w:color w:val="000000"/>
                <w:sz w:val="16"/>
                <w:szCs w:val="16"/>
                <w:lang w:val="en-US" w:eastAsia="sv-SE"/>
              </w:rPr>
              <w:br/>
              <w:t>IoT-IN/IG and LTE test in TC21</w:t>
            </w:r>
          </w:p>
        </w:tc>
        <w:tc>
          <w:tcPr>
            <w:tcW w:w="0" w:type="auto"/>
            <w:tcBorders>
              <w:top w:val="nil"/>
              <w:left w:val="nil"/>
              <w:bottom w:val="single" w:sz="8" w:space="0" w:color="auto"/>
              <w:right w:val="single" w:sz="8" w:space="0" w:color="auto"/>
            </w:tcBorders>
            <w:shd w:val="clear" w:color="auto" w:fill="auto"/>
            <w:vAlign w:val="center"/>
            <w:hideMark/>
          </w:tcPr>
          <w:p w14:paraId="58EF5799"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GSM covered by IoT</w:t>
            </w:r>
            <w:r w:rsidRPr="00855B8A">
              <w:rPr>
                <w:rFonts w:ascii="Arial" w:eastAsia="Times New Roman" w:hAnsi="Arial" w:cs="Arial"/>
                <w:b/>
                <w:bCs/>
                <w:color w:val="000000"/>
                <w:sz w:val="16"/>
                <w:szCs w:val="16"/>
                <w:lang w:val="en-US" w:eastAsia="sv-SE"/>
              </w:rPr>
              <w:br/>
              <w:t>IoT-IN/IG and LTE test in TC21</w:t>
            </w:r>
          </w:p>
        </w:tc>
        <w:tc>
          <w:tcPr>
            <w:tcW w:w="0" w:type="auto"/>
            <w:tcBorders>
              <w:top w:val="nil"/>
              <w:left w:val="nil"/>
              <w:bottom w:val="single" w:sz="8" w:space="0" w:color="auto"/>
              <w:right w:val="single" w:sz="8" w:space="0" w:color="auto"/>
            </w:tcBorders>
            <w:shd w:val="clear" w:color="auto" w:fill="auto"/>
            <w:vAlign w:val="center"/>
            <w:hideMark/>
          </w:tcPr>
          <w:p w14:paraId="71005D79"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SR covered by MR</w:t>
            </w:r>
            <w:r w:rsidRPr="00855B8A">
              <w:rPr>
                <w:rFonts w:ascii="Arial" w:eastAsia="Times New Roman" w:hAnsi="Arial" w:cs="Arial"/>
                <w:b/>
                <w:bCs/>
                <w:color w:val="000000"/>
                <w:sz w:val="16"/>
                <w:szCs w:val="16"/>
                <w:lang w:val="en-US" w:eastAsia="sv-SE"/>
              </w:rPr>
              <w:br/>
              <w:t>IoT-SA test in TC22</w:t>
            </w:r>
          </w:p>
        </w:tc>
        <w:tc>
          <w:tcPr>
            <w:tcW w:w="0" w:type="auto"/>
            <w:tcBorders>
              <w:top w:val="nil"/>
              <w:left w:val="nil"/>
              <w:bottom w:val="single" w:sz="8" w:space="0" w:color="auto"/>
              <w:right w:val="single" w:sz="8" w:space="0" w:color="auto"/>
            </w:tcBorders>
            <w:shd w:val="clear" w:color="auto" w:fill="auto"/>
            <w:vAlign w:val="center"/>
            <w:hideMark/>
          </w:tcPr>
          <w:p w14:paraId="360EE371"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GSM covered by IoT</w:t>
            </w:r>
            <w:r w:rsidRPr="00855B8A">
              <w:rPr>
                <w:rFonts w:ascii="Arial" w:eastAsia="Times New Roman" w:hAnsi="Arial" w:cs="Arial"/>
                <w:b/>
                <w:bCs/>
                <w:color w:val="000000"/>
                <w:sz w:val="16"/>
                <w:szCs w:val="16"/>
                <w:lang w:val="en-US" w:eastAsia="sv-SE"/>
              </w:rPr>
              <w:br/>
              <w:t>IoT-SA tested in TC22</w:t>
            </w:r>
          </w:p>
        </w:tc>
        <w:tc>
          <w:tcPr>
            <w:tcW w:w="0" w:type="auto"/>
            <w:tcBorders>
              <w:top w:val="nil"/>
              <w:left w:val="nil"/>
              <w:bottom w:val="single" w:sz="8" w:space="0" w:color="auto"/>
              <w:right w:val="single" w:sz="8" w:space="0" w:color="auto"/>
            </w:tcBorders>
            <w:shd w:val="clear" w:color="auto" w:fill="auto"/>
            <w:vAlign w:val="center"/>
            <w:hideMark/>
          </w:tcPr>
          <w:p w14:paraId="743842E2"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WCDMA covered by LTE</w:t>
            </w:r>
            <w:r w:rsidRPr="00855B8A">
              <w:rPr>
                <w:rFonts w:ascii="Arial" w:eastAsia="Times New Roman" w:hAnsi="Arial" w:cs="Arial"/>
                <w:b/>
                <w:bCs/>
                <w:color w:val="000000"/>
                <w:sz w:val="16"/>
                <w:szCs w:val="16"/>
                <w:lang w:val="en-US" w:eastAsia="sv-SE"/>
              </w:rPr>
              <w:br/>
              <w:t>IoT-SA and LTE tested in TC22</w:t>
            </w:r>
          </w:p>
        </w:tc>
        <w:tc>
          <w:tcPr>
            <w:tcW w:w="0" w:type="auto"/>
            <w:tcBorders>
              <w:top w:val="nil"/>
              <w:left w:val="nil"/>
              <w:bottom w:val="single" w:sz="8" w:space="0" w:color="auto"/>
              <w:right w:val="single" w:sz="8" w:space="0" w:color="auto"/>
            </w:tcBorders>
            <w:shd w:val="clear" w:color="auto" w:fill="auto"/>
            <w:vAlign w:val="center"/>
            <w:hideMark/>
          </w:tcPr>
          <w:p w14:paraId="2D6ADA54"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LTE + IoT-SA test in TC22</w:t>
            </w:r>
          </w:p>
        </w:tc>
        <w:tc>
          <w:tcPr>
            <w:tcW w:w="0" w:type="auto"/>
            <w:tcBorders>
              <w:top w:val="nil"/>
              <w:left w:val="nil"/>
              <w:bottom w:val="single" w:sz="8" w:space="0" w:color="auto"/>
              <w:right w:val="single" w:sz="8" w:space="0" w:color="auto"/>
            </w:tcBorders>
            <w:shd w:val="clear" w:color="auto" w:fill="auto"/>
            <w:vAlign w:val="center"/>
            <w:hideMark/>
          </w:tcPr>
          <w:p w14:paraId="774696AA"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GSM covered by IoT</w:t>
            </w:r>
            <w:r w:rsidRPr="00855B8A">
              <w:rPr>
                <w:rFonts w:ascii="Arial" w:eastAsia="Times New Roman" w:hAnsi="Arial" w:cs="Arial"/>
                <w:b/>
                <w:bCs/>
                <w:color w:val="000000"/>
                <w:sz w:val="16"/>
                <w:szCs w:val="16"/>
                <w:lang w:val="en-US" w:eastAsia="sv-SE"/>
              </w:rPr>
              <w:br/>
              <w:t>WCDMA covered by LTE</w:t>
            </w:r>
            <w:r w:rsidRPr="00855B8A">
              <w:rPr>
                <w:rFonts w:ascii="Arial" w:eastAsia="Times New Roman" w:hAnsi="Arial" w:cs="Arial"/>
                <w:b/>
                <w:bCs/>
                <w:color w:val="000000"/>
                <w:sz w:val="16"/>
                <w:szCs w:val="16"/>
                <w:lang w:val="en-US" w:eastAsia="sv-SE"/>
              </w:rPr>
              <w:br/>
              <w:t>IoT-SA and LTE tested in TC22</w:t>
            </w:r>
          </w:p>
        </w:tc>
        <w:tc>
          <w:tcPr>
            <w:tcW w:w="0" w:type="auto"/>
            <w:tcBorders>
              <w:top w:val="nil"/>
              <w:left w:val="nil"/>
              <w:bottom w:val="single" w:sz="8" w:space="0" w:color="auto"/>
              <w:right w:val="single" w:sz="8" w:space="0" w:color="auto"/>
            </w:tcBorders>
            <w:shd w:val="clear" w:color="auto" w:fill="auto"/>
            <w:vAlign w:val="center"/>
            <w:hideMark/>
          </w:tcPr>
          <w:p w14:paraId="6A0EE2E7"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GSM covered by IoT</w:t>
            </w:r>
            <w:r w:rsidRPr="00855B8A">
              <w:rPr>
                <w:rFonts w:ascii="Arial" w:eastAsia="Times New Roman" w:hAnsi="Arial" w:cs="Arial"/>
                <w:b/>
                <w:bCs/>
                <w:color w:val="000000"/>
                <w:sz w:val="16"/>
                <w:szCs w:val="16"/>
                <w:lang w:val="en-US" w:eastAsia="sv-SE"/>
              </w:rPr>
              <w:br/>
              <w:t>LTE + IoT-SA  test in TC22</w:t>
            </w:r>
          </w:p>
        </w:tc>
        <w:tc>
          <w:tcPr>
            <w:tcW w:w="0" w:type="auto"/>
            <w:tcBorders>
              <w:top w:val="nil"/>
              <w:left w:val="nil"/>
              <w:bottom w:val="single" w:sz="8" w:space="0" w:color="auto"/>
              <w:right w:val="single" w:sz="8" w:space="0" w:color="auto"/>
            </w:tcBorders>
            <w:shd w:val="clear" w:color="auto" w:fill="auto"/>
            <w:vAlign w:val="center"/>
            <w:hideMark/>
          </w:tcPr>
          <w:p w14:paraId="5823AE87"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WCDMA covered by LTE</w:t>
            </w:r>
            <w:r w:rsidRPr="00855B8A">
              <w:rPr>
                <w:rFonts w:ascii="Arial" w:eastAsia="Times New Roman" w:hAnsi="Arial" w:cs="Arial"/>
                <w:b/>
                <w:bCs/>
                <w:color w:val="000000"/>
                <w:sz w:val="16"/>
                <w:szCs w:val="16"/>
                <w:lang w:val="en-US" w:eastAsia="sv-SE"/>
              </w:rPr>
              <w:br/>
              <w:t>IoT-SA and LTE tested in TC22</w:t>
            </w:r>
          </w:p>
        </w:tc>
        <w:tc>
          <w:tcPr>
            <w:tcW w:w="0" w:type="auto"/>
            <w:tcBorders>
              <w:top w:val="nil"/>
              <w:left w:val="nil"/>
              <w:bottom w:val="single" w:sz="8" w:space="0" w:color="auto"/>
              <w:right w:val="single" w:sz="8" w:space="0" w:color="auto"/>
            </w:tcBorders>
            <w:shd w:val="clear" w:color="auto" w:fill="auto"/>
            <w:vAlign w:val="center"/>
            <w:hideMark/>
          </w:tcPr>
          <w:p w14:paraId="6BEB5F7C"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GSM covered by IoT</w:t>
            </w:r>
            <w:r w:rsidRPr="00855B8A">
              <w:rPr>
                <w:rFonts w:ascii="Arial" w:eastAsia="Times New Roman" w:hAnsi="Arial" w:cs="Arial"/>
                <w:b/>
                <w:bCs/>
                <w:color w:val="000000"/>
                <w:sz w:val="16"/>
                <w:szCs w:val="16"/>
                <w:lang w:val="en-US" w:eastAsia="sv-SE"/>
              </w:rPr>
              <w:br/>
              <w:t>WCDMA covered by LTE</w:t>
            </w:r>
            <w:r w:rsidRPr="00855B8A">
              <w:rPr>
                <w:rFonts w:ascii="Arial" w:eastAsia="Times New Roman" w:hAnsi="Arial" w:cs="Arial"/>
                <w:b/>
                <w:bCs/>
                <w:color w:val="000000"/>
                <w:sz w:val="16"/>
                <w:szCs w:val="16"/>
                <w:lang w:val="en-US" w:eastAsia="sv-SE"/>
              </w:rPr>
              <w:br/>
              <w:t>IoT-SA and LTE tested in TC22</w:t>
            </w:r>
          </w:p>
        </w:tc>
        <w:tc>
          <w:tcPr>
            <w:tcW w:w="0" w:type="auto"/>
            <w:tcBorders>
              <w:top w:val="nil"/>
              <w:left w:val="nil"/>
              <w:bottom w:val="single" w:sz="8" w:space="0" w:color="auto"/>
              <w:right w:val="single" w:sz="8" w:space="0" w:color="auto"/>
            </w:tcBorders>
            <w:shd w:val="clear" w:color="auto" w:fill="auto"/>
            <w:vAlign w:val="center"/>
            <w:hideMark/>
          </w:tcPr>
          <w:p w14:paraId="3FBB0E36"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TC22</w:t>
            </w:r>
          </w:p>
        </w:tc>
        <w:tc>
          <w:tcPr>
            <w:tcW w:w="0" w:type="auto"/>
            <w:tcBorders>
              <w:top w:val="nil"/>
              <w:left w:val="nil"/>
              <w:bottom w:val="single" w:sz="8" w:space="0" w:color="auto"/>
              <w:right w:val="single" w:sz="8" w:space="0" w:color="auto"/>
            </w:tcBorders>
            <w:shd w:val="clear" w:color="auto" w:fill="auto"/>
            <w:vAlign w:val="center"/>
            <w:hideMark/>
          </w:tcPr>
          <w:p w14:paraId="061CF255"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TC21</w:t>
            </w:r>
          </w:p>
        </w:tc>
        <w:tc>
          <w:tcPr>
            <w:tcW w:w="0" w:type="auto"/>
            <w:tcBorders>
              <w:top w:val="nil"/>
              <w:left w:val="nil"/>
              <w:bottom w:val="single" w:sz="8" w:space="0" w:color="auto"/>
              <w:right w:val="single" w:sz="8" w:space="0" w:color="auto"/>
            </w:tcBorders>
            <w:shd w:val="clear" w:color="auto" w:fill="auto"/>
            <w:vAlign w:val="center"/>
            <w:hideMark/>
          </w:tcPr>
          <w:p w14:paraId="1F8949A6"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GSM covered by IoT</w:t>
            </w:r>
            <w:r w:rsidRPr="00855B8A">
              <w:rPr>
                <w:rFonts w:ascii="Arial" w:eastAsia="Times New Roman" w:hAnsi="Arial" w:cs="Arial"/>
                <w:b/>
                <w:bCs/>
                <w:color w:val="000000"/>
                <w:sz w:val="16"/>
                <w:szCs w:val="16"/>
                <w:lang w:val="en-US" w:eastAsia="sv-SE"/>
              </w:rPr>
              <w:br/>
              <w:t xml:space="preserve"> IoT-IG/IN and LTE tested in TC21</w:t>
            </w:r>
          </w:p>
        </w:tc>
        <w:tc>
          <w:tcPr>
            <w:tcW w:w="0" w:type="auto"/>
            <w:tcBorders>
              <w:top w:val="nil"/>
              <w:left w:val="nil"/>
              <w:bottom w:val="single" w:sz="8" w:space="0" w:color="auto"/>
              <w:right w:val="single" w:sz="8" w:space="0" w:color="auto"/>
            </w:tcBorders>
            <w:shd w:val="clear" w:color="auto" w:fill="auto"/>
            <w:vAlign w:val="center"/>
            <w:hideMark/>
          </w:tcPr>
          <w:p w14:paraId="70DB2391" w14:textId="77777777" w:rsidR="00855B8A" w:rsidRPr="00855B8A" w:rsidRDefault="00855B8A" w:rsidP="00855B8A">
            <w:pPr>
              <w:spacing w:after="0"/>
              <w:jc w:val="center"/>
              <w:rPr>
                <w:rFonts w:ascii="Arial" w:eastAsia="Times New Roman" w:hAnsi="Arial" w:cs="Arial"/>
                <w:b/>
                <w:bCs/>
                <w:color w:val="000000"/>
                <w:sz w:val="16"/>
                <w:szCs w:val="16"/>
                <w:lang w:val="en-US" w:eastAsia="sv-SE"/>
              </w:rPr>
            </w:pPr>
            <w:r w:rsidRPr="00855B8A">
              <w:rPr>
                <w:rFonts w:ascii="Arial" w:eastAsia="Times New Roman" w:hAnsi="Arial" w:cs="Arial"/>
                <w:b/>
                <w:bCs/>
                <w:color w:val="000000"/>
                <w:sz w:val="16"/>
                <w:szCs w:val="16"/>
                <w:lang w:val="en-US" w:eastAsia="sv-SE"/>
              </w:rPr>
              <w:t>WCDMA covered by LTE</w:t>
            </w:r>
            <w:r w:rsidRPr="00855B8A">
              <w:rPr>
                <w:rFonts w:ascii="Arial" w:eastAsia="Times New Roman" w:hAnsi="Arial" w:cs="Arial"/>
                <w:b/>
                <w:bCs/>
                <w:color w:val="000000"/>
                <w:sz w:val="16"/>
                <w:szCs w:val="16"/>
                <w:lang w:val="en-US" w:eastAsia="sv-SE"/>
              </w:rPr>
              <w:br/>
              <w:t xml:space="preserve"> IoT-IG/IN and LTE tested in TC21</w:t>
            </w:r>
          </w:p>
        </w:tc>
      </w:tr>
      <w:tr w:rsidR="00CB5EC5" w:rsidRPr="00855B8A" w14:paraId="2D8E2BFE" w14:textId="77777777" w:rsidTr="00CB5EC5">
        <w:trPr>
          <w:trHeight w:val="127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FA3A50" w14:textId="77777777" w:rsidR="00855B8A" w:rsidRPr="00855B8A" w:rsidRDefault="00855B8A" w:rsidP="00855B8A">
            <w:pPr>
              <w:spacing w:after="0"/>
              <w:jc w:val="center"/>
              <w:rPr>
                <w:rFonts w:ascii="Arial" w:eastAsia="Times New Roman" w:hAnsi="Arial" w:cs="Arial"/>
                <w:b/>
                <w:bCs/>
                <w:color w:val="000000"/>
                <w:sz w:val="18"/>
                <w:szCs w:val="18"/>
                <w:lang w:val="sv-SE" w:eastAsia="sv-SE"/>
              </w:rPr>
            </w:pPr>
            <w:r w:rsidRPr="00855B8A">
              <w:rPr>
                <w:rFonts w:ascii="Arial" w:eastAsia="Times New Roman" w:hAnsi="Arial" w:cs="Arial"/>
                <w:b/>
                <w:bCs/>
                <w:color w:val="000000"/>
                <w:sz w:val="18"/>
                <w:szCs w:val="18"/>
                <w:lang w:val="sv-SE" w:eastAsia="sv-SE"/>
              </w:rPr>
              <w:t>Optimization suggestions</w:t>
            </w:r>
          </w:p>
        </w:tc>
        <w:tc>
          <w:tcPr>
            <w:tcW w:w="0" w:type="auto"/>
            <w:tcBorders>
              <w:top w:val="nil"/>
              <w:left w:val="nil"/>
              <w:bottom w:val="single" w:sz="8" w:space="0" w:color="auto"/>
              <w:right w:val="single" w:sz="8" w:space="0" w:color="auto"/>
            </w:tcBorders>
            <w:shd w:val="clear" w:color="auto" w:fill="auto"/>
            <w:vAlign w:val="center"/>
            <w:hideMark/>
          </w:tcPr>
          <w:p w14:paraId="5D9BD472"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TC21/22</w:t>
            </w:r>
          </w:p>
        </w:tc>
        <w:tc>
          <w:tcPr>
            <w:tcW w:w="0" w:type="auto"/>
            <w:tcBorders>
              <w:top w:val="nil"/>
              <w:left w:val="nil"/>
              <w:bottom w:val="single" w:sz="8" w:space="0" w:color="auto"/>
              <w:right w:val="single" w:sz="8" w:space="0" w:color="auto"/>
            </w:tcBorders>
            <w:shd w:val="clear" w:color="auto" w:fill="auto"/>
            <w:vAlign w:val="center"/>
            <w:hideMark/>
          </w:tcPr>
          <w:p w14:paraId="3E31FAE5"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TC21/22</w:t>
            </w:r>
          </w:p>
        </w:tc>
        <w:tc>
          <w:tcPr>
            <w:tcW w:w="0" w:type="auto"/>
            <w:tcBorders>
              <w:top w:val="nil"/>
              <w:left w:val="nil"/>
              <w:bottom w:val="single" w:sz="8" w:space="0" w:color="auto"/>
              <w:right w:val="single" w:sz="8" w:space="0" w:color="auto"/>
            </w:tcBorders>
            <w:shd w:val="clear" w:color="auto" w:fill="auto"/>
            <w:vAlign w:val="center"/>
            <w:hideMark/>
          </w:tcPr>
          <w:p w14:paraId="1E730919"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TC21/22</w:t>
            </w:r>
          </w:p>
        </w:tc>
        <w:tc>
          <w:tcPr>
            <w:tcW w:w="0" w:type="auto"/>
            <w:tcBorders>
              <w:top w:val="nil"/>
              <w:left w:val="nil"/>
              <w:bottom w:val="single" w:sz="8" w:space="0" w:color="auto"/>
              <w:right w:val="single" w:sz="8" w:space="0" w:color="auto"/>
            </w:tcBorders>
            <w:shd w:val="clear" w:color="auto" w:fill="auto"/>
            <w:vAlign w:val="center"/>
            <w:hideMark/>
          </w:tcPr>
          <w:p w14:paraId="3E30B8C2"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TC21/22</w:t>
            </w:r>
          </w:p>
        </w:tc>
        <w:tc>
          <w:tcPr>
            <w:tcW w:w="0" w:type="auto"/>
            <w:tcBorders>
              <w:top w:val="nil"/>
              <w:left w:val="nil"/>
              <w:bottom w:val="single" w:sz="8" w:space="0" w:color="auto"/>
              <w:right w:val="single" w:sz="8" w:space="0" w:color="auto"/>
            </w:tcBorders>
            <w:shd w:val="clear" w:color="auto" w:fill="auto"/>
            <w:vAlign w:val="center"/>
            <w:hideMark/>
          </w:tcPr>
          <w:p w14:paraId="6E2CB88D"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TC21/22</w:t>
            </w:r>
          </w:p>
        </w:tc>
        <w:tc>
          <w:tcPr>
            <w:tcW w:w="0" w:type="auto"/>
            <w:tcBorders>
              <w:top w:val="nil"/>
              <w:left w:val="nil"/>
              <w:bottom w:val="single" w:sz="8" w:space="0" w:color="auto"/>
              <w:right w:val="single" w:sz="8" w:space="0" w:color="auto"/>
            </w:tcBorders>
            <w:shd w:val="clear" w:color="auto" w:fill="auto"/>
            <w:vAlign w:val="center"/>
            <w:hideMark/>
          </w:tcPr>
          <w:p w14:paraId="44B0DD67"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TC21/22</w:t>
            </w:r>
          </w:p>
        </w:tc>
        <w:tc>
          <w:tcPr>
            <w:tcW w:w="0" w:type="auto"/>
            <w:tcBorders>
              <w:top w:val="nil"/>
              <w:left w:val="nil"/>
              <w:bottom w:val="single" w:sz="8" w:space="0" w:color="auto"/>
              <w:right w:val="single" w:sz="8" w:space="0" w:color="auto"/>
            </w:tcBorders>
            <w:shd w:val="clear" w:color="auto" w:fill="auto"/>
            <w:vAlign w:val="center"/>
            <w:hideMark/>
          </w:tcPr>
          <w:p w14:paraId="502A8CB6"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TC21</w:t>
            </w:r>
          </w:p>
        </w:tc>
        <w:tc>
          <w:tcPr>
            <w:tcW w:w="0" w:type="auto"/>
            <w:tcBorders>
              <w:top w:val="nil"/>
              <w:left w:val="nil"/>
              <w:bottom w:val="single" w:sz="8" w:space="0" w:color="auto"/>
              <w:right w:val="single" w:sz="8" w:space="0" w:color="auto"/>
            </w:tcBorders>
            <w:shd w:val="clear" w:color="auto" w:fill="auto"/>
            <w:vAlign w:val="center"/>
            <w:hideMark/>
          </w:tcPr>
          <w:p w14:paraId="0B650939"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TC22</w:t>
            </w:r>
          </w:p>
        </w:tc>
        <w:tc>
          <w:tcPr>
            <w:tcW w:w="0" w:type="auto"/>
            <w:tcBorders>
              <w:top w:val="nil"/>
              <w:left w:val="nil"/>
              <w:bottom w:val="single" w:sz="8" w:space="0" w:color="auto"/>
              <w:right w:val="single" w:sz="8" w:space="0" w:color="auto"/>
            </w:tcBorders>
            <w:shd w:val="clear" w:color="auto" w:fill="auto"/>
            <w:vAlign w:val="center"/>
            <w:hideMark/>
          </w:tcPr>
          <w:p w14:paraId="3E1F80C9"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TC22</w:t>
            </w:r>
          </w:p>
        </w:tc>
        <w:tc>
          <w:tcPr>
            <w:tcW w:w="0" w:type="auto"/>
            <w:tcBorders>
              <w:top w:val="nil"/>
              <w:left w:val="nil"/>
              <w:bottom w:val="single" w:sz="8" w:space="0" w:color="auto"/>
              <w:right w:val="single" w:sz="8" w:space="0" w:color="auto"/>
            </w:tcBorders>
            <w:shd w:val="clear" w:color="auto" w:fill="auto"/>
            <w:vAlign w:val="center"/>
            <w:hideMark/>
          </w:tcPr>
          <w:p w14:paraId="599C77E2"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TC22</w:t>
            </w:r>
          </w:p>
        </w:tc>
        <w:tc>
          <w:tcPr>
            <w:tcW w:w="0" w:type="auto"/>
            <w:tcBorders>
              <w:top w:val="nil"/>
              <w:left w:val="nil"/>
              <w:bottom w:val="single" w:sz="8" w:space="0" w:color="auto"/>
              <w:right w:val="single" w:sz="8" w:space="0" w:color="auto"/>
            </w:tcBorders>
            <w:shd w:val="clear" w:color="auto" w:fill="auto"/>
            <w:vAlign w:val="center"/>
            <w:hideMark/>
          </w:tcPr>
          <w:p w14:paraId="62B00346"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TC22</w:t>
            </w:r>
          </w:p>
        </w:tc>
        <w:tc>
          <w:tcPr>
            <w:tcW w:w="0" w:type="auto"/>
            <w:tcBorders>
              <w:top w:val="nil"/>
              <w:left w:val="nil"/>
              <w:bottom w:val="single" w:sz="8" w:space="0" w:color="auto"/>
              <w:right w:val="single" w:sz="8" w:space="0" w:color="auto"/>
            </w:tcBorders>
            <w:shd w:val="clear" w:color="auto" w:fill="auto"/>
            <w:vAlign w:val="center"/>
            <w:hideMark/>
          </w:tcPr>
          <w:p w14:paraId="157A7D08"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TC22</w:t>
            </w:r>
          </w:p>
        </w:tc>
        <w:tc>
          <w:tcPr>
            <w:tcW w:w="0" w:type="auto"/>
            <w:tcBorders>
              <w:top w:val="nil"/>
              <w:left w:val="nil"/>
              <w:bottom w:val="single" w:sz="8" w:space="0" w:color="auto"/>
              <w:right w:val="single" w:sz="8" w:space="0" w:color="auto"/>
            </w:tcBorders>
            <w:shd w:val="clear" w:color="auto" w:fill="auto"/>
            <w:vAlign w:val="center"/>
            <w:hideMark/>
          </w:tcPr>
          <w:p w14:paraId="171B6544"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TC22</w:t>
            </w:r>
          </w:p>
        </w:tc>
        <w:tc>
          <w:tcPr>
            <w:tcW w:w="0" w:type="auto"/>
            <w:tcBorders>
              <w:top w:val="nil"/>
              <w:left w:val="nil"/>
              <w:bottom w:val="single" w:sz="8" w:space="0" w:color="auto"/>
              <w:right w:val="single" w:sz="8" w:space="0" w:color="auto"/>
            </w:tcBorders>
            <w:shd w:val="clear" w:color="auto" w:fill="auto"/>
            <w:vAlign w:val="center"/>
            <w:hideMark/>
          </w:tcPr>
          <w:p w14:paraId="11088E83"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TC22</w:t>
            </w:r>
          </w:p>
        </w:tc>
        <w:tc>
          <w:tcPr>
            <w:tcW w:w="0" w:type="auto"/>
            <w:tcBorders>
              <w:top w:val="nil"/>
              <w:left w:val="nil"/>
              <w:bottom w:val="single" w:sz="8" w:space="0" w:color="auto"/>
              <w:right w:val="single" w:sz="8" w:space="0" w:color="auto"/>
            </w:tcBorders>
            <w:shd w:val="clear" w:color="auto" w:fill="auto"/>
            <w:vAlign w:val="center"/>
            <w:hideMark/>
          </w:tcPr>
          <w:p w14:paraId="105002E5"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 22</w:t>
            </w:r>
          </w:p>
        </w:tc>
        <w:tc>
          <w:tcPr>
            <w:tcW w:w="0" w:type="auto"/>
            <w:tcBorders>
              <w:top w:val="nil"/>
              <w:left w:val="nil"/>
              <w:bottom w:val="single" w:sz="8" w:space="0" w:color="auto"/>
              <w:right w:val="single" w:sz="8" w:space="0" w:color="auto"/>
            </w:tcBorders>
            <w:shd w:val="clear" w:color="auto" w:fill="auto"/>
            <w:vAlign w:val="center"/>
            <w:hideMark/>
          </w:tcPr>
          <w:p w14:paraId="688BD3B8"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Test</w:t>
            </w:r>
            <w:r w:rsidRPr="00855B8A">
              <w:rPr>
                <w:rFonts w:ascii="Arial" w:eastAsia="Times New Roman" w:hAnsi="Arial" w:cs="Arial"/>
                <w:b/>
                <w:bCs/>
                <w:color w:val="000000"/>
                <w:sz w:val="16"/>
                <w:szCs w:val="16"/>
                <w:lang w:val="sv-SE" w:eastAsia="sv-SE"/>
              </w:rPr>
              <w:br/>
              <w:t>(Cover CS1,2,3,4,5,6,18,19)</w:t>
            </w:r>
          </w:p>
        </w:tc>
        <w:tc>
          <w:tcPr>
            <w:tcW w:w="0" w:type="auto"/>
            <w:tcBorders>
              <w:top w:val="nil"/>
              <w:left w:val="nil"/>
              <w:bottom w:val="single" w:sz="8" w:space="0" w:color="auto"/>
              <w:right w:val="single" w:sz="8" w:space="0" w:color="auto"/>
            </w:tcBorders>
            <w:shd w:val="clear" w:color="auto" w:fill="auto"/>
            <w:vAlign w:val="center"/>
            <w:hideMark/>
          </w:tcPr>
          <w:p w14:paraId="57463374"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Test</w:t>
            </w:r>
            <w:r w:rsidRPr="00855B8A">
              <w:rPr>
                <w:rFonts w:ascii="Arial" w:eastAsia="Times New Roman" w:hAnsi="Arial" w:cs="Arial"/>
                <w:b/>
                <w:bCs/>
                <w:color w:val="000000"/>
                <w:sz w:val="16"/>
                <w:szCs w:val="16"/>
                <w:lang w:val="sv-SE" w:eastAsia="sv-SE"/>
              </w:rPr>
              <w:br/>
              <w:t>(Cover CS1,2,3,4,5,6,7,8,9,10,11,12,13,14,15)</w:t>
            </w:r>
          </w:p>
        </w:tc>
        <w:tc>
          <w:tcPr>
            <w:tcW w:w="0" w:type="auto"/>
            <w:tcBorders>
              <w:top w:val="nil"/>
              <w:left w:val="nil"/>
              <w:bottom w:val="single" w:sz="8" w:space="0" w:color="auto"/>
              <w:right w:val="single" w:sz="8" w:space="0" w:color="auto"/>
            </w:tcBorders>
            <w:shd w:val="clear" w:color="auto" w:fill="auto"/>
            <w:vAlign w:val="center"/>
            <w:hideMark/>
          </w:tcPr>
          <w:p w14:paraId="3B30BB6A"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TC21</w:t>
            </w:r>
          </w:p>
        </w:tc>
        <w:tc>
          <w:tcPr>
            <w:tcW w:w="0" w:type="auto"/>
            <w:tcBorders>
              <w:top w:val="nil"/>
              <w:left w:val="nil"/>
              <w:bottom w:val="single" w:sz="8" w:space="0" w:color="auto"/>
              <w:right w:val="single" w:sz="8" w:space="0" w:color="auto"/>
            </w:tcBorders>
            <w:shd w:val="clear" w:color="auto" w:fill="auto"/>
            <w:vAlign w:val="center"/>
            <w:hideMark/>
          </w:tcPr>
          <w:p w14:paraId="579295EB" w14:textId="77777777" w:rsidR="00855B8A" w:rsidRPr="00855B8A" w:rsidRDefault="00855B8A" w:rsidP="00855B8A">
            <w:pPr>
              <w:spacing w:after="0"/>
              <w:jc w:val="center"/>
              <w:rPr>
                <w:rFonts w:ascii="Arial" w:eastAsia="Times New Roman" w:hAnsi="Arial" w:cs="Arial"/>
                <w:b/>
                <w:bCs/>
                <w:color w:val="000000"/>
                <w:sz w:val="16"/>
                <w:szCs w:val="16"/>
                <w:lang w:val="sv-SE" w:eastAsia="sv-SE"/>
              </w:rPr>
            </w:pPr>
            <w:r w:rsidRPr="00855B8A">
              <w:rPr>
                <w:rFonts w:ascii="Arial" w:eastAsia="Times New Roman" w:hAnsi="Arial" w:cs="Arial"/>
                <w:b/>
                <w:bCs/>
                <w:color w:val="000000"/>
                <w:sz w:val="16"/>
                <w:szCs w:val="16"/>
                <w:lang w:val="sv-SE" w:eastAsia="sv-SE"/>
              </w:rPr>
              <w:t>Covered by TC21</w:t>
            </w:r>
          </w:p>
        </w:tc>
      </w:tr>
    </w:tbl>
    <w:p w14:paraId="3F3FB712" w14:textId="77777777" w:rsidR="002077E7" w:rsidRDefault="004116B8" w:rsidP="00C73CFE">
      <w:pPr>
        <w:tabs>
          <w:tab w:val="left" w:pos="6795"/>
        </w:tabs>
        <w:jc w:val="center"/>
        <w:rPr>
          <w:b/>
          <w:bCs/>
          <w:i/>
          <w:iCs/>
          <w:color w:val="000000" w:themeColor="text1"/>
          <w:sz w:val="22"/>
          <w:szCs w:val="22"/>
        </w:rPr>
        <w:sectPr w:rsidR="002077E7" w:rsidSect="00F24F44">
          <w:footnotePr>
            <w:numRestart w:val="eachSect"/>
          </w:footnotePr>
          <w:pgSz w:w="16840" w:h="11907" w:orient="landscape" w:code="9"/>
          <w:pgMar w:top="284" w:right="794" w:bottom="284" w:left="993" w:header="680" w:footer="567" w:gutter="0"/>
          <w:cols w:space="720"/>
          <w:docGrid w:linePitch="272"/>
        </w:sectPr>
      </w:pPr>
      <w:r w:rsidRPr="002C5EB5">
        <w:rPr>
          <w:b/>
          <w:bCs/>
          <w:i/>
          <w:iCs/>
          <w:color w:val="000000" w:themeColor="text1"/>
          <w:sz w:val="22"/>
          <w:szCs w:val="22"/>
        </w:rPr>
        <w:t xml:space="preserve">Table </w:t>
      </w:r>
      <w:r>
        <w:rPr>
          <w:b/>
          <w:bCs/>
          <w:i/>
          <w:iCs/>
          <w:color w:val="000000" w:themeColor="text1"/>
          <w:sz w:val="22"/>
          <w:szCs w:val="22"/>
        </w:rPr>
        <w:t>3</w:t>
      </w:r>
      <w:r w:rsidRPr="002C5EB5">
        <w:rPr>
          <w:b/>
          <w:bCs/>
          <w:i/>
          <w:iCs/>
          <w:color w:val="000000" w:themeColor="text1"/>
          <w:sz w:val="22"/>
          <w:szCs w:val="22"/>
        </w:rPr>
        <w:t xml:space="preserve">. </w:t>
      </w:r>
      <w:r w:rsidR="00C73CFE">
        <w:rPr>
          <w:b/>
          <w:bCs/>
          <w:i/>
          <w:iCs/>
          <w:color w:val="000000" w:themeColor="text1"/>
          <w:sz w:val="22"/>
          <w:szCs w:val="22"/>
        </w:rPr>
        <w:t>Proposal for EMC Test Configuration Reduction</w:t>
      </w:r>
    </w:p>
    <w:p w14:paraId="3AE09E40" w14:textId="21B81A05" w:rsidR="00696020" w:rsidRPr="00EC6B1C" w:rsidRDefault="00175D9D" w:rsidP="007D4ACB">
      <w:pPr>
        <w:jc w:val="both"/>
        <w:rPr>
          <w:bCs/>
          <w:iCs/>
          <w:color w:val="000000" w:themeColor="text1"/>
          <w:sz w:val="22"/>
          <w:szCs w:val="22"/>
          <w:lang w:val="en-US"/>
        </w:rPr>
      </w:pPr>
      <w:r>
        <w:rPr>
          <w:sz w:val="22"/>
          <w:szCs w:val="22"/>
          <w:lang w:val="en-US" w:eastAsia="zh-CN"/>
        </w:rPr>
        <w:lastRenderedPageBreak/>
        <w:t xml:space="preserve">Applying the </w:t>
      </w:r>
      <w:r w:rsidR="003249E6">
        <w:rPr>
          <w:sz w:val="22"/>
          <w:szCs w:val="22"/>
          <w:lang w:val="en-US" w:eastAsia="zh-CN"/>
        </w:rPr>
        <w:t>simplification in the RAT combinations considered for EMC testing, it is possib</w:t>
      </w:r>
      <w:r w:rsidR="00341780">
        <w:rPr>
          <w:sz w:val="22"/>
          <w:szCs w:val="22"/>
          <w:lang w:val="en-US" w:eastAsia="zh-CN"/>
        </w:rPr>
        <w:t>l</w:t>
      </w:r>
      <w:r w:rsidR="003249E6">
        <w:rPr>
          <w:sz w:val="22"/>
          <w:szCs w:val="22"/>
          <w:lang w:val="en-US" w:eastAsia="zh-CN"/>
        </w:rPr>
        <w:t>e</w:t>
      </w:r>
      <w:r w:rsidR="00341780">
        <w:rPr>
          <w:sz w:val="22"/>
          <w:szCs w:val="22"/>
          <w:lang w:val="en-US" w:eastAsia="zh-CN"/>
        </w:rPr>
        <w:t xml:space="preserve"> to reduce the</w:t>
      </w:r>
      <w:r w:rsidR="005067A0">
        <w:rPr>
          <w:sz w:val="22"/>
          <w:szCs w:val="22"/>
          <w:lang w:val="en-US" w:eastAsia="zh-CN"/>
        </w:rPr>
        <w:t xml:space="preserve"> consider Capability sets to CS17 and CS18, </w:t>
      </w:r>
      <w:r w:rsidR="00D446FB">
        <w:rPr>
          <w:sz w:val="22"/>
          <w:szCs w:val="22"/>
          <w:lang w:val="en-US" w:eastAsia="zh-CN"/>
        </w:rPr>
        <w:t xml:space="preserve">which corresponds to use </w:t>
      </w:r>
      <w:r w:rsidR="0062420A">
        <w:rPr>
          <w:sz w:val="22"/>
          <w:szCs w:val="22"/>
          <w:lang w:val="en-US" w:eastAsia="zh-CN"/>
        </w:rPr>
        <w:t>TC21 and TC 22</w:t>
      </w:r>
      <w:r w:rsidR="00D446FB">
        <w:rPr>
          <w:sz w:val="22"/>
          <w:szCs w:val="22"/>
          <w:lang w:val="en-US" w:eastAsia="zh-CN"/>
        </w:rPr>
        <w:t xml:space="preserve"> for EMC testing. It worth to mention that t</w:t>
      </w:r>
      <w:r w:rsidR="0076115E">
        <w:rPr>
          <w:sz w:val="22"/>
          <w:szCs w:val="22"/>
          <w:lang w:val="en-US" w:eastAsia="zh-CN"/>
        </w:rPr>
        <w:t xml:space="preserve">hese TCs (21 and 22) are already defined in </w:t>
      </w:r>
      <w:r w:rsidR="00DA40AC">
        <w:rPr>
          <w:sz w:val="22"/>
          <w:szCs w:val="22"/>
          <w:lang w:val="en-US" w:eastAsia="zh-CN"/>
        </w:rPr>
        <w:t>TS 37.141 [3]</w:t>
      </w:r>
      <w:r w:rsidRPr="00B211EF">
        <w:rPr>
          <w:sz w:val="22"/>
          <w:szCs w:val="22"/>
          <w:lang w:val="en-US" w:eastAsia="zh-CN"/>
        </w:rPr>
        <w:t>.</w:t>
      </w:r>
      <w:r w:rsidR="005D66E4">
        <w:rPr>
          <w:sz w:val="22"/>
          <w:szCs w:val="22"/>
          <w:lang w:val="en-US" w:eastAsia="zh-CN"/>
        </w:rPr>
        <w:t xml:space="preserve"> </w:t>
      </w:r>
      <w:r w:rsidR="001E463E">
        <w:rPr>
          <w:sz w:val="22"/>
          <w:szCs w:val="22"/>
          <w:lang w:val="en-US" w:eastAsia="zh-CN"/>
        </w:rPr>
        <w:t>Therefore,</w:t>
      </w:r>
      <w:r w:rsidR="004F1E55">
        <w:rPr>
          <w:sz w:val="22"/>
          <w:szCs w:val="22"/>
          <w:lang w:val="en-US" w:eastAsia="zh-CN"/>
        </w:rPr>
        <w:t xml:space="preserve"> our goal is to reach a simplification by using existing TCs and not creating a new TC.</w:t>
      </w:r>
      <w:r w:rsidR="007D4ACB">
        <w:rPr>
          <w:sz w:val="22"/>
          <w:szCs w:val="22"/>
          <w:lang w:val="en-US" w:eastAsia="zh-CN"/>
        </w:rPr>
        <w:t xml:space="preserve"> In addition, </w:t>
      </w:r>
      <w:r w:rsidR="001E463E">
        <w:rPr>
          <w:sz w:val="22"/>
          <w:szCs w:val="22"/>
          <w:lang w:val="en-US" w:eastAsia="zh-CN"/>
        </w:rPr>
        <w:t>o</w:t>
      </w:r>
      <w:r w:rsidR="007D4ACB" w:rsidRPr="007D4ACB">
        <w:rPr>
          <w:sz w:val="22"/>
          <w:szCs w:val="22"/>
          <w:lang w:val="en-US" w:eastAsia="zh-CN"/>
        </w:rPr>
        <w:t xml:space="preserve">ur proposal covers at least one wideband and one narrowband active RF chain. </w:t>
      </w:r>
    </w:p>
    <w:p w14:paraId="5623C721" w14:textId="77777777" w:rsidR="00696020" w:rsidRPr="00493B59" w:rsidRDefault="00696020" w:rsidP="00493B59">
      <w:pPr>
        <w:pStyle w:val="Heading1"/>
        <w:numPr>
          <w:ilvl w:val="0"/>
          <w:numId w:val="3"/>
        </w:numPr>
      </w:pPr>
      <w:r w:rsidRPr="00493B59">
        <w:t>Conclusion</w:t>
      </w:r>
    </w:p>
    <w:p w14:paraId="359B1A93" w14:textId="1C0B8160" w:rsidR="00696020" w:rsidRDefault="00696020" w:rsidP="00696020">
      <w:pPr>
        <w:rPr>
          <w:color w:val="000000" w:themeColor="text1"/>
          <w:sz w:val="22"/>
          <w:szCs w:val="22"/>
        </w:rPr>
      </w:pPr>
      <w:r w:rsidRPr="00EC6B1C">
        <w:rPr>
          <w:color w:val="000000" w:themeColor="text1"/>
          <w:sz w:val="22"/>
          <w:szCs w:val="22"/>
        </w:rPr>
        <w:t xml:space="preserve">In this contribution </w:t>
      </w:r>
      <w:r w:rsidR="00CA4CD8" w:rsidRPr="00EC6B1C">
        <w:rPr>
          <w:color w:val="000000" w:themeColor="text1"/>
          <w:sz w:val="22"/>
          <w:szCs w:val="22"/>
        </w:rPr>
        <w:t>a</w:t>
      </w:r>
      <w:r w:rsidR="00BD6796" w:rsidRPr="00EC6B1C">
        <w:rPr>
          <w:color w:val="000000" w:themeColor="text1"/>
          <w:sz w:val="22"/>
          <w:szCs w:val="22"/>
        </w:rPr>
        <w:t xml:space="preserve"> proposal on EMC Test Configuration reduction is presented. </w:t>
      </w:r>
      <w:r w:rsidRPr="00EC6B1C">
        <w:rPr>
          <w:color w:val="000000" w:themeColor="text1"/>
          <w:sz w:val="22"/>
          <w:szCs w:val="22"/>
        </w:rPr>
        <w:t>Based on our observations, we propose:</w:t>
      </w:r>
    </w:p>
    <w:p w14:paraId="1A574E39" w14:textId="2004C33C" w:rsidR="00696020" w:rsidRDefault="00696020" w:rsidP="00BD6796">
      <w:pPr>
        <w:spacing w:line="276" w:lineRule="auto"/>
        <w:jc w:val="both"/>
        <w:rPr>
          <w:b/>
          <w:iCs/>
          <w:color w:val="000000" w:themeColor="text1"/>
          <w:sz w:val="22"/>
          <w:szCs w:val="22"/>
        </w:rPr>
      </w:pPr>
      <w:r w:rsidRPr="00EC6B1C">
        <w:rPr>
          <w:b/>
          <w:color w:val="000000" w:themeColor="text1"/>
          <w:sz w:val="22"/>
          <w:szCs w:val="22"/>
        </w:rPr>
        <w:t xml:space="preserve">Proposal 1: </w:t>
      </w:r>
      <w:r w:rsidR="005B45AD" w:rsidRPr="00EC6B1C">
        <w:rPr>
          <w:b/>
          <w:color w:val="000000" w:themeColor="text1"/>
          <w:sz w:val="22"/>
          <w:szCs w:val="22"/>
        </w:rPr>
        <w:t xml:space="preserve">To agree in </w:t>
      </w:r>
      <w:r w:rsidR="007E47B4">
        <w:rPr>
          <w:b/>
          <w:color w:val="000000" w:themeColor="text1"/>
          <w:sz w:val="22"/>
          <w:szCs w:val="22"/>
        </w:rPr>
        <w:t>using only</w:t>
      </w:r>
      <w:r w:rsidR="00F8445E">
        <w:rPr>
          <w:b/>
          <w:color w:val="000000" w:themeColor="text1"/>
          <w:sz w:val="22"/>
          <w:szCs w:val="22"/>
        </w:rPr>
        <w:t xml:space="preserve"> TC 21 and 22 defined in </w:t>
      </w:r>
      <w:r w:rsidR="00DA40AC">
        <w:rPr>
          <w:b/>
          <w:color w:val="000000" w:themeColor="text1"/>
          <w:sz w:val="22"/>
          <w:szCs w:val="22"/>
        </w:rPr>
        <w:t>TS 37.141 [3]</w:t>
      </w:r>
      <w:r w:rsidR="007E47B4">
        <w:rPr>
          <w:b/>
          <w:color w:val="000000" w:themeColor="text1"/>
          <w:sz w:val="22"/>
          <w:szCs w:val="22"/>
        </w:rPr>
        <w:t xml:space="preserve"> for EMC testing </w:t>
      </w:r>
      <w:r w:rsidR="00456D1A">
        <w:rPr>
          <w:b/>
          <w:color w:val="000000" w:themeColor="text1"/>
          <w:sz w:val="22"/>
          <w:szCs w:val="22"/>
        </w:rPr>
        <w:t>of MSR BS as presented in this contribution.</w:t>
      </w:r>
      <w:r w:rsidR="00CA4CD8" w:rsidRPr="00EC6B1C">
        <w:rPr>
          <w:b/>
          <w:iCs/>
          <w:color w:val="000000" w:themeColor="text1"/>
          <w:sz w:val="22"/>
          <w:szCs w:val="22"/>
        </w:rPr>
        <w:t xml:space="preserve"> </w:t>
      </w:r>
    </w:p>
    <w:p w14:paraId="71ADF7E0" w14:textId="77777777" w:rsidR="00696020" w:rsidRPr="00493B59" w:rsidRDefault="00696020" w:rsidP="00493B59">
      <w:pPr>
        <w:pStyle w:val="Heading1"/>
        <w:numPr>
          <w:ilvl w:val="0"/>
          <w:numId w:val="3"/>
        </w:numPr>
      </w:pPr>
      <w:r w:rsidRPr="00493B59">
        <w:t>References</w:t>
      </w:r>
    </w:p>
    <w:p w14:paraId="3A0B4E3A" w14:textId="77777777" w:rsidR="00696020" w:rsidRPr="00EC6B1C" w:rsidRDefault="00696020" w:rsidP="00696020">
      <w:pPr>
        <w:pStyle w:val="a"/>
        <w:numPr>
          <w:ilvl w:val="0"/>
          <w:numId w:val="0"/>
        </w:numPr>
        <w:ind w:left="360"/>
        <w:rPr>
          <w:sz w:val="22"/>
          <w:szCs w:val="22"/>
          <w:lang w:eastAsia="zh-CN"/>
        </w:rPr>
      </w:pPr>
      <w:bookmarkStart w:id="4" w:name="_Hlk489447754"/>
    </w:p>
    <w:bookmarkEnd w:id="4"/>
    <w:p w14:paraId="0DFFC2ED" w14:textId="624D1B92" w:rsidR="00312AAD" w:rsidRPr="001C2F1E" w:rsidRDefault="00312AAD" w:rsidP="00312AAD">
      <w:pPr>
        <w:pStyle w:val="a"/>
        <w:rPr>
          <w:lang w:eastAsia="zh-CN"/>
        </w:rPr>
      </w:pPr>
      <w:r w:rsidRPr="001C2F1E">
        <w:rPr>
          <w:lang w:eastAsia="zh-CN"/>
        </w:rPr>
        <w:t>3GPP TS 37.113. “NR, E-UTRA, UTRA and GSM/EDGE; Multi-Standard Radio (MSR) Base Station (BS) Electromagnetic Compatibility (EMC)”</w:t>
      </w:r>
    </w:p>
    <w:p w14:paraId="27E5AD9B" w14:textId="77777777" w:rsidR="00312AAD" w:rsidRPr="001C2F1E" w:rsidRDefault="00312AAD" w:rsidP="00312AAD">
      <w:pPr>
        <w:pStyle w:val="a"/>
        <w:rPr>
          <w:lang w:eastAsia="zh-CN"/>
        </w:rPr>
      </w:pPr>
      <w:r w:rsidRPr="001C2F1E">
        <w:rPr>
          <w:lang w:eastAsia="zh-CN"/>
        </w:rPr>
        <w:t>3GPP TS 37.114. “Active Antenna System (AAS) Base Station (BS) Electromagnetic Compatibility (EMC)”</w:t>
      </w:r>
    </w:p>
    <w:p w14:paraId="792C54D4" w14:textId="6C4B9229" w:rsidR="00F9297B" w:rsidRPr="001C2F1E" w:rsidRDefault="00F9297B" w:rsidP="00F9297B">
      <w:pPr>
        <w:pStyle w:val="a"/>
        <w:rPr>
          <w:lang w:eastAsia="zh-CN"/>
        </w:rPr>
      </w:pPr>
      <w:r w:rsidRPr="001C2F1E">
        <w:rPr>
          <w:lang w:eastAsia="zh-CN"/>
        </w:rPr>
        <w:t>3GPP TS 37.141. NR, E-UTRA, UTRA and GSM/EDGE; Multi-Standard Radio (MSR) Base Station (BS) conformance testing.</w:t>
      </w:r>
    </w:p>
    <w:p w14:paraId="2A3321C3" w14:textId="1B7200DB" w:rsidR="00BF3D1E" w:rsidRPr="00C76662" w:rsidRDefault="00BF3D1E" w:rsidP="00F9297B">
      <w:pPr>
        <w:pStyle w:val="a"/>
        <w:rPr>
          <w:sz w:val="22"/>
          <w:szCs w:val="22"/>
          <w:lang w:eastAsia="zh-CN"/>
        </w:rPr>
      </w:pPr>
      <w:r>
        <w:rPr>
          <w:lang w:eastAsia="zh-CN"/>
        </w:rPr>
        <w:t xml:space="preserve">CISPR 32. </w:t>
      </w:r>
      <w:r w:rsidRPr="00885999">
        <w:rPr>
          <w:lang w:eastAsia="zh-CN"/>
        </w:rPr>
        <w:t>Electromagnetic compatibility of multimedia equipment - Emission requirements</w:t>
      </w:r>
      <w:r>
        <w:rPr>
          <w:lang w:eastAsia="zh-CN"/>
        </w:rPr>
        <w:t>.</w:t>
      </w:r>
    </w:p>
    <w:p w14:paraId="0329276C" w14:textId="77777777" w:rsidR="0047172D" w:rsidRDefault="0047172D" w:rsidP="0047172D">
      <w:pPr>
        <w:pStyle w:val="a"/>
        <w:rPr>
          <w:lang w:eastAsia="zh-CN"/>
        </w:rPr>
      </w:pPr>
      <w:r w:rsidRPr="00CC222E">
        <w:rPr>
          <w:lang w:eastAsia="zh-CN"/>
        </w:rPr>
        <w:t>ETSI EN 301 489-1, ElectroMagnetic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55FDB2EE" w14:textId="77777777" w:rsidR="00535102" w:rsidRDefault="00535102" w:rsidP="00535102">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00C64A8D" w14:textId="77777777" w:rsidR="00535102" w:rsidRDefault="00535102" w:rsidP="00535102">
      <w:pPr>
        <w:pStyle w:val="a"/>
        <w:rPr>
          <w:lang w:eastAsia="zh-CN"/>
        </w:rPr>
      </w:pPr>
      <w:r>
        <w:rPr>
          <w:lang w:eastAsia="zh-CN"/>
        </w:rPr>
        <w:t>IEC GUIDE 107:2014. Electromagnetic compatibility - Guide to the drafting of electromagnetic compatibility publications</w:t>
      </w:r>
    </w:p>
    <w:p w14:paraId="7F979032" w14:textId="77777777" w:rsidR="00C76662" w:rsidRPr="00EC6B1C" w:rsidRDefault="00C76662" w:rsidP="00535102">
      <w:pPr>
        <w:pStyle w:val="a"/>
        <w:numPr>
          <w:ilvl w:val="0"/>
          <w:numId w:val="0"/>
        </w:numPr>
        <w:ind w:left="360"/>
        <w:rPr>
          <w:sz w:val="22"/>
          <w:szCs w:val="22"/>
          <w:lang w:eastAsia="zh-CN"/>
        </w:rPr>
      </w:pPr>
    </w:p>
    <w:p w14:paraId="07DDC937" w14:textId="12993961" w:rsidR="00942A0F" w:rsidRPr="00E02828" w:rsidRDefault="00942A0F" w:rsidP="00B960D0">
      <w:pPr>
        <w:pStyle w:val="a"/>
        <w:numPr>
          <w:ilvl w:val="0"/>
          <w:numId w:val="0"/>
        </w:numPr>
        <w:ind w:left="360"/>
        <w:rPr>
          <w:bCs/>
          <w:iCs/>
          <w:color w:val="000000" w:themeColor="text1"/>
          <w:sz w:val="16"/>
          <w:szCs w:val="16"/>
        </w:rPr>
      </w:pPr>
    </w:p>
    <w:sectPr w:rsidR="00942A0F" w:rsidRPr="00E02828" w:rsidSect="002077E7">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3FB27" w14:textId="77777777" w:rsidR="00272E67" w:rsidRDefault="00272E67">
      <w:r>
        <w:separator/>
      </w:r>
    </w:p>
  </w:endnote>
  <w:endnote w:type="continuationSeparator" w:id="0">
    <w:p w14:paraId="6B42FA9B" w14:textId="77777777" w:rsidR="00272E67" w:rsidRDefault="00272E67">
      <w:r>
        <w:continuationSeparator/>
      </w:r>
    </w:p>
  </w:endnote>
  <w:endnote w:type="continuationNotice" w:id="1">
    <w:p w14:paraId="03482661" w14:textId="77777777" w:rsidR="00272E67" w:rsidRDefault="00272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01BBD" w14:textId="77777777" w:rsidR="00272E67" w:rsidRDefault="00272E67">
      <w:r>
        <w:separator/>
      </w:r>
    </w:p>
  </w:footnote>
  <w:footnote w:type="continuationSeparator" w:id="0">
    <w:p w14:paraId="435827FC" w14:textId="77777777" w:rsidR="00272E67" w:rsidRDefault="00272E67">
      <w:r>
        <w:continuationSeparator/>
      </w:r>
    </w:p>
  </w:footnote>
  <w:footnote w:type="continuationNotice" w:id="1">
    <w:p w14:paraId="1055128B" w14:textId="77777777" w:rsidR="00272E67" w:rsidRDefault="00272E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3788D"/>
    <w:multiLevelType w:val="multilevel"/>
    <w:tmpl w:val="67B378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5"/>
  </w:num>
  <w:num w:numId="3">
    <w:abstractNumId w:val="33"/>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6"/>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4"/>
  </w:num>
  <w:num w:numId="27">
    <w:abstractNumId w:val="22"/>
  </w:num>
  <w:num w:numId="28">
    <w:abstractNumId w:val="17"/>
  </w:num>
  <w:num w:numId="29">
    <w:abstractNumId w:val="7"/>
  </w:num>
  <w:num w:numId="30">
    <w:abstractNumId w:val="4"/>
  </w:num>
  <w:num w:numId="31">
    <w:abstractNumId w:val="31"/>
  </w:num>
  <w:num w:numId="32">
    <w:abstractNumId w:val="32"/>
  </w:num>
  <w:num w:numId="33">
    <w:abstractNumId w:val="11"/>
  </w:num>
  <w:num w:numId="34">
    <w:abstractNumId w:val="29"/>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 w:numId="42">
    <w:abstractNumId w:val="28"/>
  </w:num>
  <w:num w:numId="43">
    <w:abstractNumId w:val="25"/>
  </w:num>
  <w:num w:numId="44">
    <w:abstractNumId w:val="33"/>
  </w:num>
  <w:num w:numId="45">
    <w:abstractNumId w:val="33"/>
  </w:num>
  <w:num w:numId="46">
    <w:abstractNumId w:val="30"/>
  </w:num>
  <w:num w:numId="47">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898"/>
    <w:rsid w:val="000059CA"/>
    <w:rsid w:val="00005ABF"/>
    <w:rsid w:val="00006CE5"/>
    <w:rsid w:val="000073B8"/>
    <w:rsid w:val="00007483"/>
    <w:rsid w:val="00007504"/>
    <w:rsid w:val="0000757F"/>
    <w:rsid w:val="00007763"/>
    <w:rsid w:val="00007C3F"/>
    <w:rsid w:val="00007CC8"/>
    <w:rsid w:val="00007DF5"/>
    <w:rsid w:val="000106A7"/>
    <w:rsid w:val="000106AC"/>
    <w:rsid w:val="00010821"/>
    <w:rsid w:val="000109A4"/>
    <w:rsid w:val="00010DA2"/>
    <w:rsid w:val="00011008"/>
    <w:rsid w:val="00011A24"/>
    <w:rsid w:val="000122AD"/>
    <w:rsid w:val="00012463"/>
    <w:rsid w:val="00012B79"/>
    <w:rsid w:val="00012EE8"/>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44"/>
    <w:rsid w:val="00017F6E"/>
    <w:rsid w:val="0002026A"/>
    <w:rsid w:val="00020561"/>
    <w:rsid w:val="0002069B"/>
    <w:rsid w:val="000209E7"/>
    <w:rsid w:val="000211E2"/>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99C"/>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627"/>
    <w:rsid w:val="00077905"/>
    <w:rsid w:val="00077A56"/>
    <w:rsid w:val="00077D57"/>
    <w:rsid w:val="00077E39"/>
    <w:rsid w:val="00080166"/>
    <w:rsid w:val="00080E87"/>
    <w:rsid w:val="00080FE9"/>
    <w:rsid w:val="00081087"/>
    <w:rsid w:val="000813E3"/>
    <w:rsid w:val="000814DB"/>
    <w:rsid w:val="00081582"/>
    <w:rsid w:val="000816AA"/>
    <w:rsid w:val="00081922"/>
    <w:rsid w:val="00081ADA"/>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110"/>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299"/>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67A"/>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9A9"/>
    <w:rsid w:val="000C3F38"/>
    <w:rsid w:val="000C3FC8"/>
    <w:rsid w:val="000C505B"/>
    <w:rsid w:val="000C5658"/>
    <w:rsid w:val="000C6598"/>
    <w:rsid w:val="000C6EC2"/>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DF5"/>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B38"/>
    <w:rsid w:val="000F7C7D"/>
    <w:rsid w:val="000F7DD6"/>
    <w:rsid w:val="000F7F83"/>
    <w:rsid w:val="00100075"/>
    <w:rsid w:val="00100340"/>
    <w:rsid w:val="00100676"/>
    <w:rsid w:val="00100C93"/>
    <w:rsid w:val="00100F0E"/>
    <w:rsid w:val="00100FE1"/>
    <w:rsid w:val="0010112D"/>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5D9D"/>
    <w:rsid w:val="001760D7"/>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71F"/>
    <w:rsid w:val="001A7B7F"/>
    <w:rsid w:val="001A7E89"/>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2F1E"/>
    <w:rsid w:val="001C33D0"/>
    <w:rsid w:val="001C4417"/>
    <w:rsid w:val="001C48A3"/>
    <w:rsid w:val="001C49CA"/>
    <w:rsid w:val="001C4C1F"/>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5F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63E"/>
    <w:rsid w:val="001E4B40"/>
    <w:rsid w:val="001E4CEC"/>
    <w:rsid w:val="001E4FA2"/>
    <w:rsid w:val="001E5017"/>
    <w:rsid w:val="001E5142"/>
    <w:rsid w:val="001E5869"/>
    <w:rsid w:val="001E5EAD"/>
    <w:rsid w:val="001E630B"/>
    <w:rsid w:val="001E6772"/>
    <w:rsid w:val="001E6881"/>
    <w:rsid w:val="001E6A00"/>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7E7"/>
    <w:rsid w:val="00207922"/>
    <w:rsid w:val="0021002B"/>
    <w:rsid w:val="00210741"/>
    <w:rsid w:val="002107C5"/>
    <w:rsid w:val="002108D4"/>
    <w:rsid w:val="00210AB0"/>
    <w:rsid w:val="00210DE4"/>
    <w:rsid w:val="0021170A"/>
    <w:rsid w:val="00212EF8"/>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529"/>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EF7"/>
    <w:rsid w:val="00230FCA"/>
    <w:rsid w:val="00231073"/>
    <w:rsid w:val="0023135C"/>
    <w:rsid w:val="0023190E"/>
    <w:rsid w:val="002319BC"/>
    <w:rsid w:val="00231F5D"/>
    <w:rsid w:val="002326E7"/>
    <w:rsid w:val="0023324F"/>
    <w:rsid w:val="00233480"/>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77A"/>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6DF8"/>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2E67"/>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02"/>
    <w:rsid w:val="002813AA"/>
    <w:rsid w:val="00281543"/>
    <w:rsid w:val="00281779"/>
    <w:rsid w:val="00281782"/>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EB5"/>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082"/>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551"/>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5D5"/>
    <w:rsid w:val="00311FB2"/>
    <w:rsid w:val="00312175"/>
    <w:rsid w:val="00312AAD"/>
    <w:rsid w:val="00312B7E"/>
    <w:rsid w:val="00312BA6"/>
    <w:rsid w:val="00312F7A"/>
    <w:rsid w:val="00313025"/>
    <w:rsid w:val="0031336F"/>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6EA5"/>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A78"/>
    <w:rsid w:val="00323B1F"/>
    <w:rsid w:val="003249E6"/>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C0"/>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780"/>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D7"/>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2A4"/>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1FAA"/>
    <w:rsid w:val="00382223"/>
    <w:rsid w:val="0038233D"/>
    <w:rsid w:val="00382B4F"/>
    <w:rsid w:val="00382FBA"/>
    <w:rsid w:val="00383184"/>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0C8"/>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66B"/>
    <w:rsid w:val="003B47D9"/>
    <w:rsid w:val="003B487E"/>
    <w:rsid w:val="003B5375"/>
    <w:rsid w:val="003B56A2"/>
    <w:rsid w:val="003B5B17"/>
    <w:rsid w:val="003B5BD3"/>
    <w:rsid w:val="003B5D8D"/>
    <w:rsid w:val="003B5E6B"/>
    <w:rsid w:val="003B6511"/>
    <w:rsid w:val="003B6597"/>
    <w:rsid w:val="003B674F"/>
    <w:rsid w:val="003B68E3"/>
    <w:rsid w:val="003B73D4"/>
    <w:rsid w:val="003B7949"/>
    <w:rsid w:val="003B7964"/>
    <w:rsid w:val="003B7A80"/>
    <w:rsid w:val="003C0AB6"/>
    <w:rsid w:val="003C0C8D"/>
    <w:rsid w:val="003C0CD5"/>
    <w:rsid w:val="003C0DC8"/>
    <w:rsid w:val="003C1792"/>
    <w:rsid w:val="003C1966"/>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7B6"/>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009"/>
    <w:rsid w:val="003E4350"/>
    <w:rsid w:val="003E441C"/>
    <w:rsid w:val="003E505A"/>
    <w:rsid w:val="003E50E5"/>
    <w:rsid w:val="003E52C8"/>
    <w:rsid w:val="003E5C23"/>
    <w:rsid w:val="003E5F0F"/>
    <w:rsid w:val="003E6012"/>
    <w:rsid w:val="003E619D"/>
    <w:rsid w:val="003E633A"/>
    <w:rsid w:val="003E64C9"/>
    <w:rsid w:val="003E658A"/>
    <w:rsid w:val="003E7484"/>
    <w:rsid w:val="003E7EAD"/>
    <w:rsid w:val="003F04C0"/>
    <w:rsid w:val="003F0A59"/>
    <w:rsid w:val="003F0C57"/>
    <w:rsid w:val="003F0D6C"/>
    <w:rsid w:val="003F1409"/>
    <w:rsid w:val="003F15BF"/>
    <w:rsid w:val="003F160C"/>
    <w:rsid w:val="003F171E"/>
    <w:rsid w:val="003F1AF7"/>
    <w:rsid w:val="003F1E17"/>
    <w:rsid w:val="003F20F8"/>
    <w:rsid w:val="003F2FC7"/>
    <w:rsid w:val="003F3296"/>
    <w:rsid w:val="003F32FB"/>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EEC"/>
    <w:rsid w:val="00411357"/>
    <w:rsid w:val="004116B8"/>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2B2E"/>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D1A"/>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72D"/>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28D"/>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3B59"/>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6EAA"/>
    <w:rsid w:val="004A753A"/>
    <w:rsid w:val="004A7A90"/>
    <w:rsid w:val="004A7D3B"/>
    <w:rsid w:val="004B02CD"/>
    <w:rsid w:val="004B06D0"/>
    <w:rsid w:val="004B1BA9"/>
    <w:rsid w:val="004B1CBC"/>
    <w:rsid w:val="004B1F74"/>
    <w:rsid w:val="004B25D0"/>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DBF"/>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D7F44"/>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1E55"/>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0ED"/>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93B"/>
    <w:rsid w:val="005049FA"/>
    <w:rsid w:val="00504CAE"/>
    <w:rsid w:val="00504CD3"/>
    <w:rsid w:val="0050567C"/>
    <w:rsid w:val="00505D27"/>
    <w:rsid w:val="00505F06"/>
    <w:rsid w:val="005064DE"/>
    <w:rsid w:val="00506693"/>
    <w:rsid w:val="005067A0"/>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5D05"/>
    <w:rsid w:val="00516322"/>
    <w:rsid w:val="00516934"/>
    <w:rsid w:val="00516ABE"/>
    <w:rsid w:val="00517126"/>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00EC"/>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102"/>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7AF"/>
    <w:rsid w:val="0056390C"/>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AF8"/>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F51"/>
    <w:rsid w:val="005B42D3"/>
    <w:rsid w:val="005B4505"/>
    <w:rsid w:val="005B45AD"/>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4F4"/>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6E4"/>
    <w:rsid w:val="005D6EC9"/>
    <w:rsid w:val="005D738D"/>
    <w:rsid w:val="005D74AA"/>
    <w:rsid w:val="005D76ED"/>
    <w:rsid w:val="005D7B15"/>
    <w:rsid w:val="005D7F3D"/>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1D"/>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736"/>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20A"/>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431"/>
    <w:rsid w:val="0064455F"/>
    <w:rsid w:val="006447AD"/>
    <w:rsid w:val="006447D5"/>
    <w:rsid w:val="0064487B"/>
    <w:rsid w:val="006448A1"/>
    <w:rsid w:val="00645545"/>
    <w:rsid w:val="00645751"/>
    <w:rsid w:val="00645773"/>
    <w:rsid w:val="00645B9A"/>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2C9"/>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E3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61"/>
    <w:rsid w:val="00664B26"/>
    <w:rsid w:val="00664D98"/>
    <w:rsid w:val="00664E3A"/>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6A0"/>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65B"/>
    <w:rsid w:val="00694DBA"/>
    <w:rsid w:val="00694E9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26"/>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D12"/>
    <w:rsid w:val="006B3EBF"/>
    <w:rsid w:val="006B3F6E"/>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ECA"/>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5B6"/>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4BF7"/>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8D"/>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1F7B"/>
    <w:rsid w:val="007023B8"/>
    <w:rsid w:val="007023C9"/>
    <w:rsid w:val="007027FF"/>
    <w:rsid w:val="00702C80"/>
    <w:rsid w:val="00702D6C"/>
    <w:rsid w:val="0070342F"/>
    <w:rsid w:val="0070376F"/>
    <w:rsid w:val="00703A27"/>
    <w:rsid w:val="00703E2A"/>
    <w:rsid w:val="00703F69"/>
    <w:rsid w:val="007043E1"/>
    <w:rsid w:val="007049A2"/>
    <w:rsid w:val="00704C41"/>
    <w:rsid w:val="00704E56"/>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ECF"/>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3F2F"/>
    <w:rsid w:val="007441A0"/>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436E"/>
    <w:rsid w:val="0075449A"/>
    <w:rsid w:val="00755475"/>
    <w:rsid w:val="00755879"/>
    <w:rsid w:val="00756BCF"/>
    <w:rsid w:val="00757435"/>
    <w:rsid w:val="00757593"/>
    <w:rsid w:val="007575A9"/>
    <w:rsid w:val="0075767F"/>
    <w:rsid w:val="00757946"/>
    <w:rsid w:val="007579D1"/>
    <w:rsid w:val="007601CA"/>
    <w:rsid w:val="0076087C"/>
    <w:rsid w:val="00760CF7"/>
    <w:rsid w:val="0076115E"/>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2C4"/>
    <w:rsid w:val="00772525"/>
    <w:rsid w:val="007727F9"/>
    <w:rsid w:val="00773CE0"/>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5DE9"/>
    <w:rsid w:val="00786975"/>
    <w:rsid w:val="00786BD3"/>
    <w:rsid w:val="00786E22"/>
    <w:rsid w:val="00786E56"/>
    <w:rsid w:val="00786E58"/>
    <w:rsid w:val="00787035"/>
    <w:rsid w:val="0078711F"/>
    <w:rsid w:val="007871D6"/>
    <w:rsid w:val="007874B9"/>
    <w:rsid w:val="00787ADE"/>
    <w:rsid w:val="00787C18"/>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8D"/>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6AA6"/>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61A"/>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0B9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ACB"/>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5FC"/>
    <w:rsid w:val="007E18B7"/>
    <w:rsid w:val="007E2F9B"/>
    <w:rsid w:val="007E3057"/>
    <w:rsid w:val="007E3287"/>
    <w:rsid w:val="007E3A54"/>
    <w:rsid w:val="007E4384"/>
    <w:rsid w:val="007E442E"/>
    <w:rsid w:val="007E45B7"/>
    <w:rsid w:val="007E460A"/>
    <w:rsid w:val="007E47B4"/>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19C"/>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251"/>
    <w:rsid w:val="008233C7"/>
    <w:rsid w:val="008238F5"/>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0AA"/>
    <w:rsid w:val="008553E4"/>
    <w:rsid w:val="008554BC"/>
    <w:rsid w:val="00855534"/>
    <w:rsid w:val="008556D8"/>
    <w:rsid w:val="0085589D"/>
    <w:rsid w:val="00855958"/>
    <w:rsid w:val="00855B8A"/>
    <w:rsid w:val="00855C80"/>
    <w:rsid w:val="00855F1B"/>
    <w:rsid w:val="008567E3"/>
    <w:rsid w:val="00856A01"/>
    <w:rsid w:val="00856A29"/>
    <w:rsid w:val="00856B33"/>
    <w:rsid w:val="00856B92"/>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899"/>
    <w:rsid w:val="008A297C"/>
    <w:rsid w:val="008A2FC9"/>
    <w:rsid w:val="008A31B4"/>
    <w:rsid w:val="008A33AA"/>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0D55"/>
    <w:rsid w:val="008C14B5"/>
    <w:rsid w:val="008C181B"/>
    <w:rsid w:val="008C195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533"/>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3A"/>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3F15"/>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8"/>
    <w:rsid w:val="00975C0E"/>
    <w:rsid w:val="00976966"/>
    <w:rsid w:val="00976E6D"/>
    <w:rsid w:val="0097732C"/>
    <w:rsid w:val="00977432"/>
    <w:rsid w:val="009776F5"/>
    <w:rsid w:val="009779A4"/>
    <w:rsid w:val="00977E96"/>
    <w:rsid w:val="0098074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019"/>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29"/>
    <w:rsid w:val="00990366"/>
    <w:rsid w:val="009903B2"/>
    <w:rsid w:val="00990851"/>
    <w:rsid w:val="0099092A"/>
    <w:rsid w:val="00990B7E"/>
    <w:rsid w:val="00990E51"/>
    <w:rsid w:val="00991B46"/>
    <w:rsid w:val="00991D8C"/>
    <w:rsid w:val="00991D8D"/>
    <w:rsid w:val="0099243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2B5"/>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3E9"/>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B24"/>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771"/>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0EC"/>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051"/>
    <w:rsid w:val="00A162A0"/>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89B"/>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8D1"/>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BF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242"/>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31C"/>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BDE"/>
    <w:rsid w:val="00AF5D55"/>
    <w:rsid w:val="00AF6127"/>
    <w:rsid w:val="00AF62CD"/>
    <w:rsid w:val="00AF64CD"/>
    <w:rsid w:val="00AF6682"/>
    <w:rsid w:val="00AF68D4"/>
    <w:rsid w:val="00AF73A8"/>
    <w:rsid w:val="00AF798A"/>
    <w:rsid w:val="00AF79D1"/>
    <w:rsid w:val="00AF7B1E"/>
    <w:rsid w:val="00AF7E47"/>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477"/>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EF"/>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0E3"/>
    <w:rsid w:val="00B311C2"/>
    <w:rsid w:val="00B31814"/>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87E"/>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629"/>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C5"/>
    <w:rsid w:val="00BB0812"/>
    <w:rsid w:val="00BB099B"/>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51D"/>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B9B"/>
    <w:rsid w:val="00BC4C3E"/>
    <w:rsid w:val="00BC5123"/>
    <w:rsid w:val="00BC523C"/>
    <w:rsid w:val="00BC5B5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CF9"/>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D1E"/>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CA"/>
    <w:rsid w:val="00C012DE"/>
    <w:rsid w:val="00C019CF"/>
    <w:rsid w:val="00C025A8"/>
    <w:rsid w:val="00C0291B"/>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2D8"/>
    <w:rsid w:val="00C126B2"/>
    <w:rsid w:val="00C12BFC"/>
    <w:rsid w:val="00C12D19"/>
    <w:rsid w:val="00C13295"/>
    <w:rsid w:val="00C1334F"/>
    <w:rsid w:val="00C134CD"/>
    <w:rsid w:val="00C13BDF"/>
    <w:rsid w:val="00C140C5"/>
    <w:rsid w:val="00C14735"/>
    <w:rsid w:val="00C149C2"/>
    <w:rsid w:val="00C14B34"/>
    <w:rsid w:val="00C14C9B"/>
    <w:rsid w:val="00C14EB0"/>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70"/>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A4"/>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05"/>
    <w:rsid w:val="00C60A8E"/>
    <w:rsid w:val="00C61A56"/>
    <w:rsid w:val="00C61FE6"/>
    <w:rsid w:val="00C62459"/>
    <w:rsid w:val="00C6258F"/>
    <w:rsid w:val="00C626AB"/>
    <w:rsid w:val="00C62859"/>
    <w:rsid w:val="00C62EEC"/>
    <w:rsid w:val="00C63879"/>
    <w:rsid w:val="00C63F6F"/>
    <w:rsid w:val="00C64684"/>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CFE"/>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62"/>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C20"/>
    <w:rsid w:val="00C90FF8"/>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4CD8"/>
    <w:rsid w:val="00CA5E15"/>
    <w:rsid w:val="00CA5F40"/>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5EC5"/>
    <w:rsid w:val="00CB6621"/>
    <w:rsid w:val="00CB6700"/>
    <w:rsid w:val="00CB6811"/>
    <w:rsid w:val="00CB6952"/>
    <w:rsid w:val="00CB6CF3"/>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260"/>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2C56"/>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204"/>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6FB"/>
    <w:rsid w:val="00D44704"/>
    <w:rsid w:val="00D44AE6"/>
    <w:rsid w:val="00D44CDF"/>
    <w:rsid w:val="00D44CE6"/>
    <w:rsid w:val="00D4507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4F8"/>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430"/>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C54"/>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50E"/>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A5D"/>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0AC"/>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44D"/>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D7FA7"/>
    <w:rsid w:val="00DE0175"/>
    <w:rsid w:val="00DE033D"/>
    <w:rsid w:val="00DE07D5"/>
    <w:rsid w:val="00DE0A89"/>
    <w:rsid w:val="00DE0F71"/>
    <w:rsid w:val="00DE166E"/>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28"/>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437"/>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98"/>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365"/>
    <w:rsid w:val="00EA3DBA"/>
    <w:rsid w:val="00EA3F84"/>
    <w:rsid w:val="00EA46F1"/>
    <w:rsid w:val="00EA475C"/>
    <w:rsid w:val="00EA4C1B"/>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35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757"/>
    <w:rsid w:val="00EC6AEF"/>
    <w:rsid w:val="00EC6B1C"/>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BF0"/>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A02"/>
    <w:rsid w:val="00ED6A1B"/>
    <w:rsid w:val="00ED6F0B"/>
    <w:rsid w:val="00ED6F10"/>
    <w:rsid w:val="00ED709A"/>
    <w:rsid w:val="00ED7446"/>
    <w:rsid w:val="00ED7804"/>
    <w:rsid w:val="00EE00B0"/>
    <w:rsid w:val="00EE0D09"/>
    <w:rsid w:val="00EE0D5F"/>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846"/>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4F44"/>
    <w:rsid w:val="00F25030"/>
    <w:rsid w:val="00F252CD"/>
    <w:rsid w:val="00F2549B"/>
    <w:rsid w:val="00F25921"/>
    <w:rsid w:val="00F25C35"/>
    <w:rsid w:val="00F25D98"/>
    <w:rsid w:val="00F25F2B"/>
    <w:rsid w:val="00F2614B"/>
    <w:rsid w:val="00F262B2"/>
    <w:rsid w:val="00F26D76"/>
    <w:rsid w:val="00F26EF7"/>
    <w:rsid w:val="00F26F36"/>
    <w:rsid w:val="00F270FC"/>
    <w:rsid w:val="00F271EC"/>
    <w:rsid w:val="00F27628"/>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5E"/>
    <w:rsid w:val="00F844CC"/>
    <w:rsid w:val="00F844E0"/>
    <w:rsid w:val="00F84583"/>
    <w:rsid w:val="00F84628"/>
    <w:rsid w:val="00F84699"/>
    <w:rsid w:val="00F854F0"/>
    <w:rsid w:val="00F85850"/>
    <w:rsid w:val="00F858A4"/>
    <w:rsid w:val="00F859C2"/>
    <w:rsid w:val="00F865E8"/>
    <w:rsid w:val="00F86FBF"/>
    <w:rsid w:val="00F87A82"/>
    <w:rsid w:val="00F87C38"/>
    <w:rsid w:val="00F903CC"/>
    <w:rsid w:val="00F90CF7"/>
    <w:rsid w:val="00F90F0E"/>
    <w:rsid w:val="00F90F12"/>
    <w:rsid w:val="00F910D9"/>
    <w:rsid w:val="00F91278"/>
    <w:rsid w:val="00F914A4"/>
    <w:rsid w:val="00F91540"/>
    <w:rsid w:val="00F915E0"/>
    <w:rsid w:val="00F9187C"/>
    <w:rsid w:val="00F919EB"/>
    <w:rsid w:val="00F920C3"/>
    <w:rsid w:val="00F922E7"/>
    <w:rsid w:val="00F9282B"/>
    <w:rsid w:val="00F9297B"/>
    <w:rsid w:val="00F929C1"/>
    <w:rsid w:val="00F92D75"/>
    <w:rsid w:val="00F93232"/>
    <w:rsid w:val="00F93444"/>
    <w:rsid w:val="00F9374E"/>
    <w:rsid w:val="00F937FF"/>
    <w:rsid w:val="00F939F2"/>
    <w:rsid w:val="00F93A3B"/>
    <w:rsid w:val="00F93A8D"/>
    <w:rsid w:val="00F93B1A"/>
    <w:rsid w:val="00F93B35"/>
    <w:rsid w:val="00F93C4A"/>
    <w:rsid w:val="00F93CB1"/>
    <w:rsid w:val="00F93E09"/>
    <w:rsid w:val="00F93ED6"/>
    <w:rsid w:val="00F93FB9"/>
    <w:rsid w:val="00F9454C"/>
    <w:rsid w:val="00F9479C"/>
    <w:rsid w:val="00F949A9"/>
    <w:rsid w:val="00F94A20"/>
    <w:rsid w:val="00F94A6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6D3"/>
    <w:rsid w:val="00FA2A02"/>
    <w:rsid w:val="00FA31DD"/>
    <w:rsid w:val="00FA3312"/>
    <w:rsid w:val="00FA3D7B"/>
    <w:rsid w:val="00FA45D8"/>
    <w:rsid w:val="00FA47A1"/>
    <w:rsid w:val="00FA50E2"/>
    <w:rsid w:val="00FA51E8"/>
    <w:rsid w:val="00FA5302"/>
    <w:rsid w:val="00FA54EE"/>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581"/>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1529"/>
    <w:rsid w:val="00FE16C9"/>
    <w:rsid w:val="00FE199E"/>
    <w:rsid w:val="00FE2255"/>
    <w:rsid w:val="00FE2260"/>
    <w:rsid w:val="00FE2400"/>
    <w:rsid w:val="00FE2F05"/>
    <w:rsid w:val="00FE33DD"/>
    <w:rsid w:val="00FE348E"/>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274"/>
    <w:rsid w:val="00FF57E8"/>
    <w:rsid w:val="00FF5DC0"/>
    <w:rsid w:val="00FF6191"/>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3"/>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Id w:val="3"/>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1422">
      <w:bodyDiv w:val="1"/>
      <w:marLeft w:val="0"/>
      <w:marRight w:val="0"/>
      <w:marTop w:val="0"/>
      <w:marBottom w:val="0"/>
      <w:divBdr>
        <w:top w:val="none" w:sz="0" w:space="0" w:color="auto"/>
        <w:left w:val="none" w:sz="0" w:space="0" w:color="auto"/>
        <w:bottom w:val="none" w:sz="0" w:space="0" w:color="auto"/>
        <w:right w:val="none" w:sz="0" w:space="0" w:color="auto"/>
      </w:divBdr>
    </w:div>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47245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9470569">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2108270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504756">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4503840">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1543102">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03707825">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73509456">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2004182">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70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913669">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71760773">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FFE734-71B0-419F-934E-E5FE30ED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8</Pages>
  <Words>2475</Words>
  <Characters>13119</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G61</cp:lastModifiedBy>
  <cp:revision>104</cp:revision>
  <cp:lastPrinted>2018-04-06T14:24:00Z</cp:lastPrinted>
  <dcterms:created xsi:type="dcterms:W3CDTF">2020-05-13T10:39:00Z</dcterms:created>
  <dcterms:modified xsi:type="dcterms:W3CDTF">2020-05-15T12:30:00Z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